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2F1" w:rsidRDefault="00D72FAD">
      <w:pPr>
        <w:jc w:val="center"/>
        <w:rPr>
          <w:rFonts w:ascii="Book Antiqua" w:eastAsia="Book Antiqua" w:hAnsi="Book Antiqua" w:cs="Book Antiqua"/>
          <w:b/>
        </w:rPr>
      </w:pPr>
      <w:r>
        <w:rPr>
          <w:rFonts w:ascii="Book Antiqua" w:eastAsia="Book Antiqua" w:hAnsi="Book Antiqua" w:cs="Book Antiqua"/>
          <w:b/>
        </w:rPr>
        <w:t>INFORME DE PONENCIA NEGATIVA PARA PRIMER DEBATE AL PROYECTO DE LEY NO. 018 DE 2023 CÁMARA</w:t>
      </w:r>
    </w:p>
    <w:p w:rsidR="00C232F1" w:rsidRDefault="00C232F1">
      <w:pPr>
        <w:jc w:val="center"/>
        <w:rPr>
          <w:rFonts w:ascii="Book Antiqua" w:eastAsia="Book Antiqua" w:hAnsi="Book Antiqua" w:cs="Book Antiqua"/>
          <w:b/>
        </w:rPr>
      </w:pPr>
    </w:p>
    <w:p w:rsidR="00C232F1" w:rsidRDefault="00D72FAD">
      <w:pPr>
        <w:jc w:val="center"/>
        <w:rPr>
          <w:rFonts w:ascii="Book Antiqua" w:eastAsia="Book Antiqua" w:hAnsi="Book Antiqua" w:cs="Book Antiqua"/>
          <w:b/>
        </w:rPr>
      </w:pPr>
      <w:r>
        <w:rPr>
          <w:rFonts w:ascii="Book Antiqua" w:eastAsia="Book Antiqua" w:hAnsi="Book Antiqua" w:cs="Book Antiqua"/>
          <w:b/>
        </w:rPr>
        <w:t>“POR MEDIO DEL CUAL SE REFORMA SE REFORMA</w:t>
      </w:r>
      <w:r>
        <w:rPr>
          <w:rFonts w:ascii="Book Antiqua" w:eastAsia="Book Antiqua" w:hAnsi="Book Antiqua" w:cs="Book Antiqua"/>
          <w:b/>
        </w:rPr>
        <w:t xml:space="preserve"> LA JUSTICIA, SE MODIFICA EL CÓDIGO DE PROCEDIMIENTO PENAL, CÓDIGO DISCIPLINARIO DEL ABOGADO, EL ESTATUTO ARBITRAL, EL CÓDIGO GENERAL DEL PROCESO, LA LEY 1905 DE 2018, SE ESTIMULA LA CONCILIACIÓN EXTRAJUDICIAL CONTENCIOSO ADMINISTRATIVA, SE ADICIONA LA LEY</w:t>
      </w:r>
      <w:r>
        <w:rPr>
          <w:rFonts w:ascii="Book Antiqua" w:eastAsia="Book Antiqua" w:hAnsi="Book Antiqua" w:cs="Book Antiqua"/>
          <w:b/>
        </w:rPr>
        <w:t xml:space="preserve"> 1437 DE 2011 Y SE DICTAN OTRAS DISPOSICIONES”. </w:t>
      </w:r>
    </w:p>
    <w:p w:rsidR="00C232F1" w:rsidRDefault="00C232F1">
      <w:pPr>
        <w:rPr>
          <w:rFonts w:ascii="Book Antiqua" w:eastAsia="Book Antiqua" w:hAnsi="Book Antiqua" w:cs="Book Antiqua"/>
          <w:b/>
        </w:rPr>
      </w:pPr>
    </w:p>
    <w:p w:rsidR="00C232F1" w:rsidRDefault="00C232F1">
      <w:pPr>
        <w:rPr>
          <w:rFonts w:ascii="Book Antiqua" w:eastAsia="Book Antiqua" w:hAnsi="Book Antiqua" w:cs="Book Antiqua"/>
          <w:b/>
        </w:rPr>
      </w:pPr>
    </w:p>
    <w:p w:rsidR="00C232F1" w:rsidRDefault="00D72FAD">
      <w:pPr>
        <w:rPr>
          <w:rFonts w:ascii="Book Antiqua" w:eastAsia="Book Antiqua" w:hAnsi="Book Antiqua" w:cs="Book Antiqua"/>
          <w:b/>
        </w:rPr>
      </w:pPr>
      <w:r>
        <w:rPr>
          <w:rFonts w:ascii="Book Antiqua" w:eastAsia="Book Antiqua" w:hAnsi="Book Antiqua" w:cs="Book Antiqua"/>
          <w:b/>
        </w:rPr>
        <w:t xml:space="preserve">Bogotá, D.C, </w:t>
      </w:r>
      <w:proofErr w:type="gramStart"/>
      <w:r>
        <w:rPr>
          <w:rFonts w:ascii="Book Antiqua" w:eastAsia="Book Antiqua" w:hAnsi="Book Antiqua" w:cs="Book Antiqua"/>
          <w:b/>
        </w:rPr>
        <w:t>Junio</w:t>
      </w:r>
      <w:proofErr w:type="gramEnd"/>
      <w:r>
        <w:rPr>
          <w:rFonts w:ascii="Book Antiqua" w:eastAsia="Book Antiqua" w:hAnsi="Book Antiqua" w:cs="Book Antiqua"/>
          <w:b/>
        </w:rPr>
        <w:t xml:space="preserve"> de 2024</w:t>
      </w:r>
    </w:p>
    <w:p w:rsidR="00C232F1" w:rsidRDefault="00C232F1">
      <w:pPr>
        <w:rPr>
          <w:rFonts w:ascii="Book Antiqua" w:eastAsia="Book Antiqua" w:hAnsi="Book Antiqua" w:cs="Book Antiqua"/>
          <w:b/>
        </w:rPr>
      </w:pPr>
    </w:p>
    <w:p w:rsidR="00C232F1" w:rsidRDefault="00D72FAD">
      <w:pPr>
        <w:spacing w:before="240" w:after="240"/>
        <w:rPr>
          <w:rFonts w:ascii="Book Antiqua" w:eastAsia="Book Antiqua" w:hAnsi="Book Antiqua" w:cs="Book Antiqua"/>
          <w:b/>
        </w:rPr>
      </w:pPr>
      <w:r>
        <w:rPr>
          <w:rFonts w:ascii="Book Antiqua" w:eastAsia="Book Antiqua" w:hAnsi="Book Antiqua" w:cs="Book Antiqua"/>
        </w:rPr>
        <w:t>Honorable Representante</w:t>
      </w:r>
      <w:r>
        <w:rPr>
          <w:rFonts w:ascii="Book Antiqua" w:eastAsia="Book Antiqua" w:hAnsi="Book Antiqua" w:cs="Book Antiqua"/>
          <w:b/>
        </w:rPr>
        <w:br/>
        <w:t>OSCAR HERNÁN SÁNCHEZ LEÓN</w:t>
      </w:r>
      <w:r>
        <w:rPr>
          <w:rFonts w:ascii="Book Antiqua" w:eastAsia="Book Antiqua" w:hAnsi="Book Antiqua" w:cs="Book Antiqua"/>
          <w:b/>
        </w:rPr>
        <w:br/>
      </w:r>
      <w:r>
        <w:rPr>
          <w:rFonts w:ascii="Book Antiqua" w:eastAsia="Book Antiqua" w:hAnsi="Book Antiqua" w:cs="Book Antiqua"/>
        </w:rPr>
        <w:t>Presidente</w:t>
      </w:r>
      <w:r>
        <w:rPr>
          <w:rFonts w:ascii="Book Antiqua" w:eastAsia="Book Antiqua" w:hAnsi="Book Antiqua" w:cs="Book Antiqua"/>
        </w:rPr>
        <w:br/>
        <w:t>Comisión Primera Constitucional Permanente</w:t>
      </w:r>
      <w:r>
        <w:rPr>
          <w:rFonts w:ascii="Book Antiqua" w:eastAsia="Book Antiqua" w:hAnsi="Book Antiqua" w:cs="Book Antiqua"/>
        </w:rPr>
        <w:br/>
        <w:t>Cámara de Representantes</w:t>
      </w:r>
    </w:p>
    <w:p w:rsidR="00C232F1" w:rsidRDefault="00D72FAD">
      <w:pPr>
        <w:spacing w:before="240" w:after="240"/>
        <w:rPr>
          <w:rFonts w:ascii="Book Antiqua" w:eastAsia="Book Antiqua" w:hAnsi="Book Antiqua" w:cs="Book Antiqua"/>
        </w:rPr>
      </w:pPr>
      <w:r>
        <w:rPr>
          <w:rFonts w:ascii="Book Antiqua" w:eastAsia="Book Antiqua" w:hAnsi="Book Antiqua" w:cs="Book Antiqua"/>
          <w:b/>
        </w:rPr>
        <w:t xml:space="preserve">Referencia: </w:t>
      </w:r>
      <w:r>
        <w:rPr>
          <w:rFonts w:ascii="Book Antiqua" w:eastAsia="Book Antiqua" w:hAnsi="Book Antiqua" w:cs="Book Antiqua"/>
        </w:rPr>
        <w:t>Informe de Ponencia Negativa para pr</w:t>
      </w:r>
      <w:r>
        <w:rPr>
          <w:rFonts w:ascii="Book Antiqua" w:eastAsia="Book Antiqua" w:hAnsi="Book Antiqua" w:cs="Book Antiqua"/>
        </w:rPr>
        <w:t>imer debate del Proyecto de Ley No. 018 de 2023 Cámara.</w:t>
      </w:r>
    </w:p>
    <w:p w:rsidR="00C232F1" w:rsidRDefault="00D72FAD">
      <w:pPr>
        <w:spacing w:before="240" w:after="240" w:line="360" w:lineRule="auto"/>
        <w:rPr>
          <w:rFonts w:ascii="Book Antiqua" w:eastAsia="Book Antiqua" w:hAnsi="Book Antiqua" w:cs="Book Antiqua"/>
        </w:rPr>
      </w:pPr>
      <w:r>
        <w:rPr>
          <w:rFonts w:ascii="Book Antiqua" w:eastAsia="Book Antiqua" w:hAnsi="Book Antiqua" w:cs="Book Antiqua"/>
        </w:rPr>
        <w:t xml:space="preserve">Honorables Representantes: </w:t>
      </w:r>
    </w:p>
    <w:p w:rsidR="00C232F1" w:rsidRDefault="00D72FAD">
      <w:pPr>
        <w:spacing w:before="240" w:after="240"/>
        <w:jc w:val="both"/>
        <w:rPr>
          <w:rFonts w:ascii="Book Antiqua" w:eastAsia="Book Antiqua" w:hAnsi="Book Antiqua" w:cs="Book Antiqua"/>
        </w:rPr>
      </w:pPr>
      <w:r>
        <w:rPr>
          <w:rFonts w:ascii="Book Antiqua" w:eastAsia="Book Antiqua" w:hAnsi="Book Antiqua" w:cs="Book Antiqua"/>
        </w:rPr>
        <w:t>En cumplimiento del encargo hecho por la Honorable Mesa Directiva de la Comisión Primera Constitucional Permanente de la Cámara de Representantes del Congreso de la Repúbli</w:t>
      </w:r>
      <w:r>
        <w:rPr>
          <w:rFonts w:ascii="Book Antiqua" w:eastAsia="Book Antiqua" w:hAnsi="Book Antiqua" w:cs="Book Antiqua"/>
        </w:rPr>
        <w:t xml:space="preserve">ca y, de conformidad con lo establecido en el artículo 156 de la ley 5ª de 1992, nos permitimos rendir informe de </w:t>
      </w:r>
      <w:r>
        <w:rPr>
          <w:rFonts w:ascii="Book Antiqua" w:eastAsia="Book Antiqua" w:hAnsi="Book Antiqua" w:cs="Book Antiqua"/>
          <w:b/>
        </w:rPr>
        <w:t>Ponencia Negativa</w:t>
      </w:r>
      <w:r>
        <w:rPr>
          <w:rFonts w:ascii="Book Antiqua" w:eastAsia="Book Antiqua" w:hAnsi="Book Antiqua" w:cs="Book Antiqua"/>
        </w:rPr>
        <w:t xml:space="preserve"> para primer debate en Cámara de Representantes al Proyecto de Ley No.018 de 2023 Cámara, </w:t>
      </w:r>
      <w:r>
        <w:rPr>
          <w:rFonts w:ascii="Book Antiqua" w:eastAsia="Book Antiqua" w:hAnsi="Book Antiqua" w:cs="Book Antiqua"/>
          <w:b/>
        </w:rPr>
        <w:t>“Por medio del cual se reforma se r</w:t>
      </w:r>
      <w:r>
        <w:rPr>
          <w:rFonts w:ascii="Book Antiqua" w:eastAsia="Book Antiqua" w:hAnsi="Book Antiqua" w:cs="Book Antiqua"/>
          <w:b/>
        </w:rPr>
        <w:t xml:space="preserve">eforma la justicia, se modifica el código de procedimiento penal, código disciplinario del abogado, el estatuto arbitral, el código general del proceso, la ley 1905 de 2018, se estimula la conciliación extrajudicial contencioso administrativa, se adiciona </w:t>
      </w:r>
      <w:r>
        <w:rPr>
          <w:rFonts w:ascii="Book Antiqua" w:eastAsia="Book Antiqua" w:hAnsi="Book Antiqua" w:cs="Book Antiqua"/>
          <w:b/>
        </w:rPr>
        <w:t xml:space="preserve">la ley 1437 de 2011 y se dictan otras disposiciones”. </w:t>
      </w:r>
    </w:p>
    <w:p w:rsidR="00C232F1" w:rsidRDefault="00D72FAD">
      <w:pPr>
        <w:spacing w:before="240" w:after="240"/>
        <w:jc w:val="both"/>
        <w:rPr>
          <w:rFonts w:ascii="Book Antiqua" w:eastAsia="Book Antiqua" w:hAnsi="Book Antiqua" w:cs="Book Antiqua"/>
        </w:rPr>
      </w:pPr>
      <w:r>
        <w:rPr>
          <w:rFonts w:ascii="Book Antiqua" w:eastAsia="Book Antiqua" w:hAnsi="Book Antiqua" w:cs="Book Antiqua"/>
        </w:rPr>
        <w:t>Cordialmente,</w:t>
      </w:r>
    </w:p>
    <w:p w:rsidR="00C232F1" w:rsidRDefault="00C232F1">
      <w:pPr>
        <w:spacing w:before="240" w:after="240"/>
        <w:jc w:val="both"/>
        <w:rPr>
          <w:rFonts w:ascii="Book Antiqua" w:eastAsia="Book Antiqua" w:hAnsi="Book Antiqua" w:cs="Book Antiqua"/>
        </w:rPr>
      </w:pPr>
    </w:p>
    <w:p w:rsidR="00C232F1" w:rsidRDefault="00C232F1">
      <w:pPr>
        <w:spacing w:before="240" w:after="240"/>
        <w:jc w:val="both"/>
        <w:rPr>
          <w:rFonts w:ascii="Book Antiqua" w:eastAsia="Book Antiqua" w:hAnsi="Book Antiqua" w:cs="Book Antiqua"/>
        </w:rPr>
      </w:pPr>
    </w:p>
    <w:p w:rsidR="00C232F1" w:rsidRDefault="00C232F1">
      <w:pPr>
        <w:ind w:right="113"/>
        <w:jc w:val="both"/>
        <w:rPr>
          <w:rFonts w:ascii="Book Antiqua" w:eastAsia="Book Antiqua" w:hAnsi="Book Antiqua" w:cs="Book Antiqua"/>
          <w:sz w:val="20"/>
          <w:szCs w:val="20"/>
        </w:rPr>
      </w:pPr>
    </w:p>
    <w:p w:rsidR="00C232F1" w:rsidRDefault="00D72FAD">
      <w:pPr>
        <w:ind w:right="113"/>
        <w:jc w:val="both"/>
        <w:rPr>
          <w:rFonts w:ascii="Book Antiqua" w:eastAsia="Book Antiqua" w:hAnsi="Book Antiqua" w:cs="Book Antiqua"/>
          <w:b/>
          <w:sz w:val="20"/>
          <w:szCs w:val="20"/>
        </w:rPr>
      </w:pPr>
      <w:r>
        <w:rPr>
          <w:rFonts w:ascii="Book Antiqua" w:eastAsia="Book Antiqua" w:hAnsi="Book Antiqua" w:cs="Book Antiqua"/>
          <w:b/>
          <w:sz w:val="20"/>
          <w:szCs w:val="20"/>
        </w:rPr>
        <w:t>ALVARO LEONEL RUEDA CABALLERO</w:t>
      </w:r>
      <w:r>
        <w:rPr>
          <w:rFonts w:ascii="Book Antiqua" w:eastAsia="Book Antiqua" w:hAnsi="Book Antiqua" w:cs="Book Antiqua"/>
          <w:b/>
          <w:sz w:val="20"/>
          <w:szCs w:val="20"/>
        </w:rPr>
        <w:tab/>
      </w:r>
      <w:r>
        <w:rPr>
          <w:rFonts w:ascii="Book Antiqua" w:eastAsia="Book Antiqua" w:hAnsi="Book Antiqua" w:cs="Book Antiqua"/>
          <w:b/>
          <w:sz w:val="20"/>
          <w:szCs w:val="20"/>
        </w:rPr>
        <w:tab/>
        <w:t>PEDRO JOSÉ SÚAREZ VACCA</w:t>
      </w:r>
      <w:r>
        <w:rPr>
          <w:rFonts w:ascii="Book Antiqua" w:eastAsia="Book Antiqua" w:hAnsi="Book Antiqua" w:cs="Book Antiqua"/>
          <w:b/>
          <w:sz w:val="20"/>
          <w:szCs w:val="20"/>
        </w:rPr>
        <w:br/>
        <w:t>Departamento de Santander</w:t>
      </w:r>
      <w:r>
        <w:rPr>
          <w:rFonts w:ascii="Book Antiqua" w:eastAsia="Book Antiqua" w:hAnsi="Book Antiqua" w:cs="Book Antiqua"/>
          <w:b/>
          <w:sz w:val="20"/>
          <w:szCs w:val="20"/>
        </w:rPr>
        <w:tab/>
      </w:r>
      <w:r>
        <w:rPr>
          <w:rFonts w:ascii="Book Antiqua" w:eastAsia="Book Antiqua" w:hAnsi="Book Antiqua" w:cs="Book Antiqua"/>
          <w:b/>
          <w:sz w:val="20"/>
          <w:szCs w:val="20"/>
        </w:rPr>
        <w:tab/>
      </w:r>
      <w:r>
        <w:rPr>
          <w:rFonts w:ascii="Book Antiqua" w:eastAsia="Book Antiqua" w:hAnsi="Book Antiqua" w:cs="Book Antiqua"/>
          <w:b/>
          <w:sz w:val="20"/>
          <w:szCs w:val="20"/>
        </w:rPr>
        <w:tab/>
      </w:r>
      <w:r>
        <w:rPr>
          <w:rFonts w:ascii="Book Antiqua" w:eastAsia="Book Antiqua" w:hAnsi="Book Antiqua" w:cs="Book Antiqua"/>
          <w:b/>
          <w:sz w:val="20"/>
          <w:szCs w:val="20"/>
        </w:rPr>
        <w:tab/>
        <w:t>Departamento de Boyacá</w:t>
      </w: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D72FAD">
      <w:pPr>
        <w:ind w:right="113"/>
        <w:jc w:val="both"/>
        <w:rPr>
          <w:rFonts w:ascii="Book Antiqua" w:eastAsia="Book Antiqua" w:hAnsi="Book Antiqua" w:cs="Book Antiqua"/>
          <w:b/>
          <w:sz w:val="20"/>
          <w:szCs w:val="20"/>
        </w:rPr>
      </w:pPr>
      <w:r>
        <w:rPr>
          <w:rFonts w:ascii="Book Antiqua" w:eastAsia="Book Antiqua" w:hAnsi="Book Antiqua" w:cs="Book Antiqua"/>
          <w:b/>
          <w:sz w:val="20"/>
          <w:szCs w:val="20"/>
        </w:rPr>
        <w:t>JAMES HERMENEGILDO MOSQUERA TORRES</w:t>
      </w:r>
      <w:r>
        <w:rPr>
          <w:rFonts w:ascii="Book Antiqua" w:eastAsia="Book Antiqua" w:hAnsi="Book Antiqua" w:cs="Book Antiqua"/>
          <w:b/>
          <w:sz w:val="20"/>
          <w:szCs w:val="20"/>
        </w:rPr>
        <w:tab/>
        <w:t>JUAN DANIEL PEÑUELA CALVACHE</w:t>
      </w:r>
    </w:p>
    <w:p w:rsidR="00C232F1" w:rsidRDefault="00D72FAD">
      <w:pPr>
        <w:ind w:right="113"/>
        <w:jc w:val="both"/>
        <w:rPr>
          <w:rFonts w:ascii="Book Antiqua" w:eastAsia="Book Antiqua" w:hAnsi="Book Antiqua" w:cs="Book Antiqua"/>
          <w:b/>
          <w:sz w:val="20"/>
          <w:szCs w:val="20"/>
        </w:rPr>
      </w:pPr>
      <w:proofErr w:type="spellStart"/>
      <w:r>
        <w:rPr>
          <w:rFonts w:ascii="Book Antiqua" w:eastAsia="Book Antiqua" w:hAnsi="Book Antiqua" w:cs="Book Antiqua"/>
          <w:b/>
          <w:sz w:val="20"/>
          <w:szCs w:val="20"/>
        </w:rPr>
        <w:t>Circ</w:t>
      </w:r>
      <w:proofErr w:type="spellEnd"/>
      <w:r>
        <w:rPr>
          <w:rFonts w:ascii="Book Antiqua" w:eastAsia="Book Antiqua" w:hAnsi="Book Antiqua" w:cs="Book Antiqua"/>
          <w:b/>
          <w:sz w:val="20"/>
          <w:szCs w:val="20"/>
        </w:rPr>
        <w:t xml:space="preserve">. </w:t>
      </w:r>
      <w:proofErr w:type="spellStart"/>
      <w:r>
        <w:rPr>
          <w:rFonts w:ascii="Book Antiqua" w:eastAsia="Book Antiqua" w:hAnsi="Book Antiqua" w:cs="Book Antiqua"/>
          <w:b/>
          <w:sz w:val="20"/>
          <w:szCs w:val="20"/>
        </w:rPr>
        <w:t>Trans</w:t>
      </w:r>
      <w:proofErr w:type="spellEnd"/>
      <w:r>
        <w:rPr>
          <w:rFonts w:ascii="Book Antiqua" w:eastAsia="Book Antiqua" w:hAnsi="Book Antiqua" w:cs="Book Antiqua"/>
          <w:b/>
          <w:sz w:val="20"/>
          <w:szCs w:val="20"/>
        </w:rPr>
        <w:t>. Esp. de Paz (CITREP)</w:t>
      </w:r>
      <w:r>
        <w:rPr>
          <w:rFonts w:ascii="Book Antiqua" w:eastAsia="Book Antiqua" w:hAnsi="Book Antiqua" w:cs="Book Antiqua"/>
          <w:b/>
          <w:sz w:val="20"/>
          <w:szCs w:val="20"/>
        </w:rPr>
        <w:tab/>
      </w:r>
      <w:r>
        <w:rPr>
          <w:rFonts w:ascii="Book Antiqua" w:eastAsia="Book Antiqua" w:hAnsi="Book Antiqua" w:cs="Book Antiqua"/>
          <w:b/>
          <w:sz w:val="20"/>
          <w:szCs w:val="20"/>
        </w:rPr>
        <w:tab/>
      </w:r>
      <w:r>
        <w:rPr>
          <w:rFonts w:ascii="Book Antiqua" w:eastAsia="Book Antiqua" w:hAnsi="Book Antiqua" w:cs="Book Antiqua"/>
          <w:b/>
          <w:sz w:val="20"/>
          <w:szCs w:val="20"/>
        </w:rPr>
        <w:tab/>
        <w:t>Departamento de Nariño</w:t>
      </w: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D72FAD">
      <w:pPr>
        <w:ind w:right="113"/>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rPr>
        <w:t>JORGE ELIECER TAMAYO MARULANDA</w:t>
      </w:r>
      <w:r>
        <w:rPr>
          <w:rFonts w:ascii="Book Antiqua" w:eastAsia="Book Antiqua" w:hAnsi="Book Antiqua" w:cs="Book Antiqua"/>
          <w:b/>
          <w:sz w:val="20"/>
          <w:szCs w:val="20"/>
        </w:rPr>
        <w:tab/>
      </w:r>
      <w:r>
        <w:rPr>
          <w:rFonts w:ascii="Book Antiqua" w:eastAsia="Book Antiqua" w:hAnsi="Book Antiqua" w:cs="Book Antiqua"/>
          <w:b/>
          <w:sz w:val="20"/>
          <w:szCs w:val="20"/>
        </w:rPr>
        <w:tab/>
      </w:r>
      <w:r>
        <w:rPr>
          <w:rFonts w:ascii="Book Antiqua" w:eastAsia="Book Antiqua" w:hAnsi="Book Antiqua" w:cs="Book Antiqua"/>
          <w:b/>
          <w:sz w:val="20"/>
          <w:szCs w:val="20"/>
          <w:highlight w:val="white"/>
        </w:rPr>
        <w:t>HERNÁN DARÍO CADAVID MÁRQUEZ</w:t>
      </w:r>
    </w:p>
    <w:p w:rsidR="00C232F1" w:rsidRDefault="00D72FAD">
      <w:pPr>
        <w:ind w:right="113"/>
        <w:jc w:val="both"/>
        <w:rPr>
          <w:rFonts w:ascii="Book Antiqua" w:eastAsia="Book Antiqua" w:hAnsi="Book Antiqua" w:cs="Book Antiqua"/>
          <w:b/>
          <w:sz w:val="20"/>
          <w:szCs w:val="20"/>
        </w:rPr>
      </w:pPr>
      <w:r>
        <w:rPr>
          <w:rFonts w:ascii="Book Antiqua" w:eastAsia="Book Antiqua" w:hAnsi="Book Antiqua" w:cs="Book Antiqua"/>
          <w:b/>
          <w:sz w:val="20"/>
          <w:szCs w:val="20"/>
        </w:rPr>
        <w:t>Departamento Valle del Cauca</w:t>
      </w:r>
      <w:r>
        <w:rPr>
          <w:rFonts w:ascii="Book Antiqua" w:eastAsia="Book Antiqua" w:hAnsi="Book Antiqua" w:cs="Book Antiqua"/>
          <w:b/>
          <w:sz w:val="20"/>
          <w:szCs w:val="20"/>
        </w:rPr>
        <w:tab/>
      </w:r>
      <w:r>
        <w:rPr>
          <w:rFonts w:ascii="Book Antiqua" w:eastAsia="Book Antiqua" w:hAnsi="Book Antiqua" w:cs="Book Antiqua"/>
          <w:b/>
          <w:sz w:val="20"/>
          <w:szCs w:val="20"/>
        </w:rPr>
        <w:tab/>
      </w:r>
      <w:r>
        <w:rPr>
          <w:rFonts w:ascii="Book Antiqua" w:eastAsia="Book Antiqua" w:hAnsi="Book Antiqua" w:cs="Book Antiqua"/>
          <w:b/>
          <w:sz w:val="20"/>
          <w:szCs w:val="20"/>
        </w:rPr>
        <w:tab/>
      </w:r>
      <w:r>
        <w:rPr>
          <w:rFonts w:ascii="Book Antiqua" w:eastAsia="Book Antiqua" w:hAnsi="Book Antiqua" w:cs="Book Antiqua"/>
          <w:b/>
          <w:sz w:val="20"/>
          <w:szCs w:val="20"/>
        </w:rPr>
        <w:tab/>
        <w:t>Departamento de Antioquia</w:t>
      </w: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D72FAD">
      <w:pPr>
        <w:ind w:right="113"/>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MARELEN CASTILLO TORRES</w:t>
      </w:r>
      <w:r>
        <w:rPr>
          <w:rFonts w:ascii="Book Antiqua" w:eastAsia="Book Antiqua" w:hAnsi="Book Antiqua" w:cs="Book Antiqua"/>
          <w:b/>
          <w:sz w:val="20"/>
          <w:szCs w:val="20"/>
          <w:highlight w:val="white"/>
        </w:rPr>
        <w:tab/>
      </w:r>
      <w:r>
        <w:rPr>
          <w:rFonts w:ascii="Book Antiqua" w:eastAsia="Book Antiqua" w:hAnsi="Book Antiqua" w:cs="Book Antiqua"/>
          <w:b/>
          <w:sz w:val="20"/>
          <w:szCs w:val="20"/>
          <w:highlight w:val="white"/>
        </w:rPr>
        <w:tab/>
      </w:r>
      <w:r>
        <w:rPr>
          <w:rFonts w:ascii="Book Antiqua" w:eastAsia="Book Antiqua" w:hAnsi="Book Antiqua" w:cs="Book Antiqua"/>
          <w:b/>
          <w:sz w:val="20"/>
          <w:szCs w:val="20"/>
          <w:highlight w:val="white"/>
        </w:rPr>
        <w:tab/>
        <w:t>LUIS ALBERTO ALBÁN URBANO</w:t>
      </w:r>
    </w:p>
    <w:p w:rsidR="00C232F1" w:rsidRDefault="00D72FAD">
      <w:pPr>
        <w:ind w:right="113"/>
        <w:jc w:val="both"/>
        <w:rPr>
          <w:rFonts w:ascii="Book Antiqua" w:eastAsia="Book Antiqua" w:hAnsi="Book Antiqua" w:cs="Book Antiqua"/>
          <w:b/>
          <w:sz w:val="20"/>
          <w:szCs w:val="20"/>
        </w:rPr>
      </w:pPr>
      <w:r>
        <w:rPr>
          <w:rFonts w:ascii="Book Antiqua" w:eastAsia="Book Antiqua" w:hAnsi="Book Antiqua" w:cs="Book Antiqua"/>
          <w:b/>
          <w:sz w:val="20"/>
          <w:szCs w:val="20"/>
        </w:rPr>
        <w:t xml:space="preserve">Estatuto de </w:t>
      </w:r>
      <w:r>
        <w:rPr>
          <w:rFonts w:ascii="Book Antiqua" w:eastAsia="Book Antiqua" w:hAnsi="Book Antiqua" w:cs="Book Antiqua"/>
          <w:b/>
          <w:sz w:val="20"/>
          <w:szCs w:val="20"/>
        </w:rPr>
        <w:t>la Oposición Art 112 CP</w:t>
      </w:r>
      <w:r>
        <w:rPr>
          <w:rFonts w:ascii="Book Antiqua" w:eastAsia="Book Antiqua" w:hAnsi="Book Antiqua" w:cs="Book Antiqua"/>
          <w:b/>
          <w:sz w:val="20"/>
          <w:szCs w:val="20"/>
        </w:rPr>
        <w:tab/>
      </w:r>
      <w:r>
        <w:rPr>
          <w:rFonts w:ascii="Book Antiqua" w:eastAsia="Book Antiqua" w:hAnsi="Book Antiqua" w:cs="Book Antiqua"/>
          <w:b/>
          <w:sz w:val="20"/>
          <w:szCs w:val="20"/>
          <w:highlight w:val="white"/>
        </w:rPr>
        <w:tab/>
      </w:r>
      <w:r>
        <w:rPr>
          <w:rFonts w:ascii="Book Antiqua" w:eastAsia="Book Antiqua" w:hAnsi="Book Antiqua" w:cs="Book Antiqua"/>
          <w:b/>
          <w:sz w:val="20"/>
          <w:szCs w:val="20"/>
          <w:highlight w:val="white"/>
        </w:rPr>
        <w:tab/>
      </w:r>
      <w:r>
        <w:rPr>
          <w:rFonts w:ascii="Book Antiqua" w:eastAsia="Book Antiqua" w:hAnsi="Book Antiqua" w:cs="Book Antiqua"/>
          <w:b/>
          <w:sz w:val="20"/>
          <w:szCs w:val="20"/>
        </w:rPr>
        <w:t>Departamento Valle del Cauca</w:t>
      </w: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highlight w:val="white"/>
        </w:rPr>
      </w:pPr>
    </w:p>
    <w:p w:rsidR="00C232F1" w:rsidRDefault="00D72FAD">
      <w:pPr>
        <w:ind w:right="113"/>
        <w:jc w:val="both"/>
        <w:rPr>
          <w:rFonts w:ascii="Book Antiqua" w:eastAsia="Book Antiqua" w:hAnsi="Book Antiqua" w:cs="Book Antiqua"/>
          <w:b/>
          <w:sz w:val="20"/>
          <w:szCs w:val="20"/>
        </w:rPr>
      </w:pPr>
      <w:r>
        <w:rPr>
          <w:rFonts w:ascii="Book Antiqua" w:eastAsia="Book Antiqua" w:hAnsi="Book Antiqua" w:cs="Book Antiqua"/>
          <w:b/>
          <w:sz w:val="20"/>
          <w:szCs w:val="20"/>
        </w:rPr>
        <w:t>DUVALIER SÁNCHEZ ARANGO</w:t>
      </w:r>
    </w:p>
    <w:p w:rsidR="00C232F1" w:rsidRDefault="00D72FAD">
      <w:pPr>
        <w:ind w:right="113"/>
        <w:jc w:val="both"/>
        <w:rPr>
          <w:rFonts w:ascii="Book Antiqua" w:eastAsia="Book Antiqua" w:hAnsi="Book Antiqua" w:cs="Book Antiqua"/>
          <w:b/>
          <w:sz w:val="20"/>
          <w:szCs w:val="20"/>
        </w:rPr>
      </w:pPr>
      <w:r>
        <w:rPr>
          <w:rFonts w:ascii="Book Antiqua" w:eastAsia="Book Antiqua" w:hAnsi="Book Antiqua" w:cs="Book Antiqua"/>
          <w:b/>
          <w:sz w:val="20"/>
          <w:szCs w:val="20"/>
        </w:rPr>
        <w:t>Departamento Valle del Cauca</w:t>
      </w:r>
    </w:p>
    <w:p w:rsidR="00C232F1" w:rsidRDefault="00D72FAD">
      <w:pPr>
        <w:ind w:left="2880" w:right="113" w:firstLine="720"/>
        <w:jc w:val="both"/>
        <w:rPr>
          <w:rFonts w:ascii="Book Antiqua" w:eastAsia="Book Antiqua" w:hAnsi="Book Antiqua" w:cs="Book Antiqua"/>
        </w:rPr>
      </w:pPr>
      <w:r>
        <w:rPr>
          <w:rFonts w:ascii="Book Antiqua" w:eastAsia="Book Antiqua" w:hAnsi="Book Antiqua" w:cs="Book Antiqua"/>
          <w:b/>
          <w:color w:val="775F31"/>
          <w:sz w:val="20"/>
          <w:szCs w:val="20"/>
          <w:highlight w:val="white"/>
        </w:rPr>
        <w:tab/>
      </w:r>
      <w:r>
        <w:rPr>
          <w:rFonts w:ascii="Book Antiqua" w:eastAsia="Book Antiqua" w:hAnsi="Book Antiqua" w:cs="Book Antiqua"/>
          <w:b/>
          <w:color w:val="775F31"/>
          <w:sz w:val="20"/>
          <w:szCs w:val="20"/>
          <w:highlight w:val="white"/>
        </w:rPr>
        <w:tab/>
      </w:r>
      <w:r>
        <w:rPr>
          <w:rFonts w:ascii="Book Antiqua" w:eastAsia="Book Antiqua" w:hAnsi="Book Antiqua" w:cs="Book Antiqua"/>
          <w:b/>
          <w:color w:val="775F31"/>
          <w:sz w:val="20"/>
          <w:szCs w:val="20"/>
          <w:highlight w:val="white"/>
        </w:rPr>
        <w:tab/>
      </w:r>
      <w:r>
        <w:rPr>
          <w:rFonts w:ascii="Book Antiqua" w:eastAsia="Book Antiqua" w:hAnsi="Book Antiqua" w:cs="Book Antiqua"/>
          <w:b/>
          <w:color w:val="775F31"/>
          <w:sz w:val="20"/>
          <w:szCs w:val="20"/>
          <w:highlight w:val="white"/>
        </w:rPr>
        <w:tab/>
      </w:r>
      <w:r>
        <w:rPr>
          <w:rFonts w:ascii="Book Antiqua" w:eastAsia="Book Antiqua" w:hAnsi="Book Antiqua" w:cs="Book Antiqua"/>
          <w:b/>
          <w:color w:val="775F31"/>
          <w:sz w:val="20"/>
          <w:szCs w:val="20"/>
          <w:highlight w:val="white"/>
        </w:rPr>
        <w:tab/>
      </w:r>
    </w:p>
    <w:p w:rsidR="00C232F1" w:rsidRDefault="00C232F1">
      <w:pPr>
        <w:spacing w:before="240" w:after="240"/>
        <w:jc w:val="both"/>
        <w:rPr>
          <w:rFonts w:ascii="Book Antiqua" w:eastAsia="Book Antiqua" w:hAnsi="Book Antiqua" w:cs="Book Antiqua"/>
        </w:rPr>
      </w:pPr>
    </w:p>
    <w:p w:rsidR="00C232F1" w:rsidRDefault="00C232F1">
      <w:pPr>
        <w:spacing w:before="240" w:after="240"/>
        <w:jc w:val="both"/>
        <w:rPr>
          <w:rFonts w:ascii="Book Antiqua" w:eastAsia="Book Antiqua" w:hAnsi="Book Antiqua" w:cs="Book Antiqua"/>
        </w:rPr>
      </w:pPr>
    </w:p>
    <w:p w:rsidR="00C232F1" w:rsidRDefault="00C232F1">
      <w:pPr>
        <w:spacing w:before="240" w:after="240"/>
        <w:jc w:val="both"/>
        <w:rPr>
          <w:rFonts w:ascii="Book Antiqua" w:eastAsia="Book Antiqua" w:hAnsi="Book Antiqua" w:cs="Book Antiqua"/>
        </w:rPr>
      </w:pPr>
    </w:p>
    <w:p w:rsidR="00C232F1" w:rsidRDefault="00C232F1">
      <w:pPr>
        <w:spacing w:before="240" w:after="240"/>
        <w:jc w:val="both"/>
        <w:rPr>
          <w:rFonts w:ascii="Book Antiqua" w:eastAsia="Book Antiqua" w:hAnsi="Book Antiqua" w:cs="Book Antiqua"/>
        </w:rPr>
      </w:pPr>
    </w:p>
    <w:p w:rsidR="00C232F1" w:rsidRDefault="00C232F1">
      <w:pPr>
        <w:spacing w:before="240" w:after="240"/>
        <w:jc w:val="both"/>
        <w:rPr>
          <w:rFonts w:ascii="Book Antiqua" w:eastAsia="Book Antiqua" w:hAnsi="Book Antiqua" w:cs="Book Antiqua"/>
        </w:rPr>
      </w:pPr>
    </w:p>
    <w:p w:rsidR="00C232F1" w:rsidRDefault="00C232F1">
      <w:pPr>
        <w:spacing w:before="240" w:after="240"/>
        <w:jc w:val="both"/>
        <w:rPr>
          <w:rFonts w:ascii="Book Antiqua" w:eastAsia="Book Antiqua" w:hAnsi="Book Antiqua" w:cs="Book Antiqua"/>
        </w:rPr>
      </w:pPr>
    </w:p>
    <w:p w:rsidR="00C232F1" w:rsidRDefault="00C232F1">
      <w:pPr>
        <w:spacing w:before="240" w:after="240"/>
        <w:jc w:val="both"/>
        <w:rPr>
          <w:rFonts w:ascii="Book Antiqua" w:eastAsia="Book Antiqua" w:hAnsi="Book Antiqua" w:cs="Book Antiqua"/>
        </w:rPr>
      </w:pPr>
    </w:p>
    <w:p w:rsidR="00C232F1" w:rsidRDefault="00D72FAD">
      <w:pPr>
        <w:jc w:val="center"/>
        <w:rPr>
          <w:rFonts w:ascii="Book Antiqua" w:eastAsia="Book Antiqua" w:hAnsi="Book Antiqua" w:cs="Book Antiqua"/>
          <w:b/>
        </w:rPr>
      </w:pPr>
      <w:r>
        <w:rPr>
          <w:rFonts w:ascii="Book Antiqua" w:eastAsia="Book Antiqua" w:hAnsi="Book Antiqua" w:cs="Book Antiqua"/>
          <w:b/>
        </w:rPr>
        <w:t>INFORME DE PONENCIA NEGATIVA PARA PRIMER DEBATE AL PROYECTO DE LEY NO. 018 DE 2023 CÁMARA</w:t>
      </w:r>
    </w:p>
    <w:p w:rsidR="00C232F1" w:rsidRDefault="00C232F1">
      <w:pPr>
        <w:jc w:val="center"/>
        <w:rPr>
          <w:rFonts w:ascii="Book Antiqua" w:eastAsia="Book Antiqua" w:hAnsi="Book Antiqua" w:cs="Book Antiqua"/>
          <w:b/>
        </w:rPr>
      </w:pPr>
    </w:p>
    <w:p w:rsidR="00C232F1" w:rsidRDefault="00D72FAD">
      <w:pPr>
        <w:jc w:val="center"/>
        <w:rPr>
          <w:rFonts w:ascii="Book Antiqua" w:eastAsia="Book Antiqua" w:hAnsi="Book Antiqua" w:cs="Book Antiqua"/>
        </w:rPr>
      </w:pPr>
      <w:r>
        <w:rPr>
          <w:rFonts w:ascii="Book Antiqua" w:eastAsia="Book Antiqua" w:hAnsi="Book Antiqua" w:cs="Book Antiqua"/>
          <w:b/>
        </w:rPr>
        <w:t xml:space="preserve">“POR MEDIO DEL </w:t>
      </w:r>
      <w:r>
        <w:rPr>
          <w:rFonts w:ascii="Book Antiqua" w:eastAsia="Book Antiqua" w:hAnsi="Book Antiqua" w:cs="Book Antiqua"/>
          <w:b/>
        </w:rPr>
        <w:t>CUAL SE REFORMA SE REFORMA LA JUSTICIA, SE MODIFICA EL CÓDIGO DE PROCEDIMIENTO PENAL, CÓDIGO DISCIPLINARIO DEL ABOGADO, EL ESTATUTO ARBITRAL, EL CÓDIGO GENERAL DEL PROCESO, LA LEY 1905 DE 2018, SE ESTIMULA LA CONCILIACIÓN EXTRAJUDICIAL CONTENCIOSO ADMINIST</w:t>
      </w:r>
      <w:r>
        <w:rPr>
          <w:rFonts w:ascii="Book Antiqua" w:eastAsia="Book Antiqua" w:hAnsi="Book Antiqua" w:cs="Book Antiqua"/>
          <w:b/>
        </w:rPr>
        <w:t>RATIVA, SE ADICIONA LA LEY 1437 DE 2011 Y SE DICTAN OTRAS DISPOSICIONES</w:t>
      </w:r>
    </w:p>
    <w:p w:rsidR="00C232F1" w:rsidRDefault="00C232F1">
      <w:pPr>
        <w:jc w:val="center"/>
        <w:rPr>
          <w:rFonts w:ascii="Book Antiqua" w:eastAsia="Book Antiqua" w:hAnsi="Book Antiqua" w:cs="Book Antiqua"/>
        </w:rPr>
      </w:pPr>
    </w:p>
    <w:p w:rsidR="00C232F1" w:rsidRDefault="00D72FAD">
      <w:pPr>
        <w:numPr>
          <w:ilvl w:val="0"/>
          <w:numId w:val="2"/>
        </w:numPr>
        <w:rPr>
          <w:rFonts w:ascii="Book Antiqua" w:eastAsia="Book Antiqua" w:hAnsi="Book Antiqua" w:cs="Book Antiqua"/>
          <w:b/>
        </w:rPr>
      </w:pPr>
      <w:r>
        <w:rPr>
          <w:rFonts w:ascii="Book Antiqua" w:eastAsia="Book Antiqua" w:hAnsi="Book Antiqua" w:cs="Book Antiqua"/>
          <w:b/>
        </w:rPr>
        <w:t>TRÁMITE DE LA INICIATIVA</w:t>
      </w:r>
    </w:p>
    <w:p w:rsidR="00C232F1" w:rsidRDefault="00C232F1">
      <w:pPr>
        <w:rPr>
          <w:rFonts w:ascii="Book Antiqua" w:eastAsia="Book Antiqua" w:hAnsi="Book Antiqua" w:cs="Book Antiqua"/>
          <w:b/>
        </w:rPr>
      </w:pPr>
    </w:p>
    <w:p w:rsidR="00C232F1" w:rsidRDefault="00D72FAD">
      <w:pPr>
        <w:jc w:val="both"/>
        <w:rPr>
          <w:rFonts w:ascii="Book Antiqua" w:eastAsia="Book Antiqua" w:hAnsi="Book Antiqua" w:cs="Book Antiqua"/>
        </w:rPr>
      </w:pPr>
      <w:r>
        <w:rPr>
          <w:rFonts w:ascii="Book Antiqua" w:eastAsia="Book Antiqua" w:hAnsi="Book Antiqua" w:cs="Book Antiqua"/>
        </w:rPr>
        <w:t>El 25 de julio de 2023, se radicó el Proyecto de Ley No. 018 de 2023 que busca reformar la justicia, modificar el código de procedimiento penal, el código di</w:t>
      </w:r>
      <w:r>
        <w:rPr>
          <w:rFonts w:ascii="Book Antiqua" w:eastAsia="Book Antiqua" w:hAnsi="Book Antiqua" w:cs="Book Antiqua"/>
        </w:rPr>
        <w:t>sciplinario del abogado, el estatuto arbitral, el código general del proceso, y la ley 1905 de 2018, así como estimular la conciliación extrajudicial en lo contencioso administrativo.</w:t>
      </w:r>
    </w:p>
    <w:p w:rsidR="00C232F1" w:rsidRDefault="00C232F1">
      <w:pPr>
        <w:jc w:val="both"/>
        <w:rPr>
          <w:rFonts w:ascii="Book Antiqua" w:eastAsia="Book Antiqua" w:hAnsi="Book Antiqua" w:cs="Book Antiqua"/>
        </w:rPr>
      </w:pPr>
    </w:p>
    <w:p w:rsidR="00C232F1" w:rsidRDefault="00D72FAD">
      <w:pPr>
        <w:jc w:val="both"/>
        <w:rPr>
          <w:rFonts w:ascii="Book Antiqua" w:eastAsia="Book Antiqua" w:hAnsi="Book Antiqua" w:cs="Book Antiqua"/>
        </w:rPr>
      </w:pPr>
      <w:r>
        <w:rPr>
          <w:rFonts w:ascii="Book Antiqua" w:eastAsia="Book Antiqua" w:hAnsi="Book Antiqua" w:cs="Book Antiqua"/>
        </w:rPr>
        <w:t>El proyecto de ley fue publicado en la Gaceta del Congreso No. 959 de 2</w:t>
      </w:r>
      <w:r>
        <w:rPr>
          <w:rFonts w:ascii="Book Antiqua" w:eastAsia="Book Antiqua" w:hAnsi="Book Antiqua" w:cs="Book Antiqua"/>
        </w:rPr>
        <w:t>023.</w:t>
      </w:r>
    </w:p>
    <w:p w:rsidR="00C232F1" w:rsidRDefault="00C232F1">
      <w:pPr>
        <w:jc w:val="both"/>
        <w:rPr>
          <w:rFonts w:ascii="Book Antiqua" w:eastAsia="Book Antiqua" w:hAnsi="Book Antiqua" w:cs="Book Antiqua"/>
        </w:rPr>
      </w:pPr>
    </w:p>
    <w:p w:rsidR="00C232F1" w:rsidRDefault="00D72FAD">
      <w:pPr>
        <w:jc w:val="both"/>
        <w:rPr>
          <w:rFonts w:ascii="Book Antiqua" w:eastAsia="Book Antiqua" w:hAnsi="Book Antiqua" w:cs="Book Antiqua"/>
        </w:rPr>
      </w:pPr>
      <w:r>
        <w:rPr>
          <w:rFonts w:ascii="Book Antiqua" w:eastAsia="Book Antiqua" w:hAnsi="Book Antiqua" w:cs="Book Antiqua"/>
        </w:rPr>
        <w:t xml:space="preserve">En continuidad del trámite, la Mesa Directiva mediante oficio C.P.C.P 3.1 - 0038 - 2023 designó como ponentes coordinadores a los Representantes </w:t>
      </w:r>
      <w:proofErr w:type="spellStart"/>
      <w:r>
        <w:rPr>
          <w:rFonts w:ascii="Book Antiqua" w:eastAsia="Book Antiqua" w:hAnsi="Book Antiqua" w:cs="Book Antiqua"/>
        </w:rPr>
        <w:t>Gersel</w:t>
      </w:r>
      <w:proofErr w:type="spellEnd"/>
      <w:r>
        <w:rPr>
          <w:rFonts w:ascii="Book Antiqua" w:eastAsia="Book Antiqua" w:hAnsi="Book Antiqua" w:cs="Book Antiqua"/>
        </w:rPr>
        <w:t xml:space="preserve"> Luis Pérez </w:t>
      </w:r>
      <w:proofErr w:type="spellStart"/>
      <w:r>
        <w:rPr>
          <w:rFonts w:ascii="Book Antiqua" w:eastAsia="Book Antiqua" w:hAnsi="Book Antiqua" w:cs="Book Antiqua"/>
        </w:rPr>
        <w:t>Altamiranda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Alvaro</w:t>
      </w:r>
      <w:proofErr w:type="spellEnd"/>
      <w:r>
        <w:rPr>
          <w:rFonts w:ascii="Book Antiqua" w:eastAsia="Book Antiqua" w:hAnsi="Book Antiqua" w:cs="Book Antiqua"/>
        </w:rPr>
        <w:t xml:space="preserve"> Leonel Rueda Caballero, Heráclito </w:t>
      </w:r>
      <w:proofErr w:type="spellStart"/>
      <w:r>
        <w:rPr>
          <w:rFonts w:ascii="Book Antiqua" w:eastAsia="Book Antiqua" w:hAnsi="Book Antiqua" w:cs="Book Antiqua"/>
        </w:rPr>
        <w:t>Landinez</w:t>
      </w:r>
      <w:proofErr w:type="spellEnd"/>
      <w:r>
        <w:rPr>
          <w:rFonts w:ascii="Book Antiqua" w:eastAsia="Book Antiqua" w:hAnsi="Book Antiqua" w:cs="Book Antiqua"/>
        </w:rPr>
        <w:t xml:space="preserve"> Suarez, y como ponentes </w:t>
      </w:r>
      <w:r>
        <w:rPr>
          <w:rFonts w:ascii="Book Antiqua" w:eastAsia="Book Antiqua" w:hAnsi="Book Antiqua" w:cs="Book Antiqua"/>
        </w:rPr>
        <w:t xml:space="preserve">a los Representantes James Hermenegildo Mosquera Torrez, Juan Daniel Peñuela </w:t>
      </w:r>
      <w:proofErr w:type="spellStart"/>
      <w:r>
        <w:rPr>
          <w:rFonts w:ascii="Book Antiqua" w:eastAsia="Book Antiqua" w:hAnsi="Book Antiqua" w:cs="Book Antiqua"/>
        </w:rPr>
        <w:t>Calvache</w:t>
      </w:r>
      <w:proofErr w:type="spellEnd"/>
      <w:r>
        <w:rPr>
          <w:rFonts w:ascii="Book Antiqua" w:eastAsia="Book Antiqua" w:hAnsi="Book Antiqua" w:cs="Book Antiqua"/>
        </w:rPr>
        <w:t xml:space="preserve">, Jorge Eliecer Tamayo Marulanda, </w:t>
      </w:r>
      <w:proofErr w:type="spellStart"/>
      <w:r>
        <w:rPr>
          <w:rFonts w:ascii="Book Antiqua" w:eastAsia="Book Antiqua" w:hAnsi="Book Antiqua" w:cs="Book Antiqua"/>
        </w:rPr>
        <w:t>Hernan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Dario</w:t>
      </w:r>
      <w:proofErr w:type="spellEnd"/>
      <w:r>
        <w:rPr>
          <w:rFonts w:ascii="Book Antiqua" w:eastAsia="Book Antiqua" w:hAnsi="Book Antiqua" w:cs="Book Antiqua"/>
        </w:rPr>
        <w:t xml:space="preserve"> Cadavid Márquez, </w:t>
      </w:r>
      <w:proofErr w:type="spellStart"/>
      <w:r>
        <w:rPr>
          <w:rFonts w:ascii="Book Antiqua" w:eastAsia="Book Antiqua" w:hAnsi="Book Antiqua" w:cs="Book Antiqua"/>
        </w:rPr>
        <w:t>Duvalier</w:t>
      </w:r>
      <w:proofErr w:type="spellEnd"/>
      <w:r>
        <w:rPr>
          <w:rFonts w:ascii="Book Antiqua" w:eastAsia="Book Antiqua" w:hAnsi="Book Antiqua" w:cs="Book Antiqua"/>
        </w:rPr>
        <w:t xml:space="preserve"> Sánchez Arango, </w:t>
      </w:r>
      <w:proofErr w:type="spellStart"/>
      <w:r>
        <w:rPr>
          <w:rFonts w:ascii="Book Antiqua" w:eastAsia="Book Antiqua" w:hAnsi="Book Antiqua" w:cs="Book Antiqua"/>
        </w:rPr>
        <w:t>Marelen</w:t>
      </w:r>
      <w:proofErr w:type="spellEnd"/>
      <w:r>
        <w:rPr>
          <w:rFonts w:ascii="Book Antiqua" w:eastAsia="Book Antiqua" w:hAnsi="Book Antiqua" w:cs="Book Antiqua"/>
        </w:rPr>
        <w:t xml:space="preserve"> Castillo Torres y Luis Alberto Albán Urbano. </w:t>
      </w:r>
    </w:p>
    <w:p w:rsidR="00C232F1" w:rsidRDefault="00C232F1">
      <w:pPr>
        <w:jc w:val="both"/>
        <w:rPr>
          <w:rFonts w:ascii="Book Antiqua" w:eastAsia="Book Antiqua" w:hAnsi="Book Antiqua" w:cs="Book Antiqua"/>
        </w:rPr>
      </w:pPr>
    </w:p>
    <w:p w:rsidR="00C232F1" w:rsidRDefault="00D72FAD">
      <w:pPr>
        <w:jc w:val="both"/>
        <w:rPr>
          <w:rFonts w:ascii="Book Antiqua" w:eastAsia="Book Antiqua" w:hAnsi="Book Antiqua" w:cs="Book Antiqua"/>
        </w:rPr>
      </w:pPr>
      <w:r>
        <w:rPr>
          <w:rFonts w:ascii="Book Antiqua" w:eastAsia="Book Antiqua" w:hAnsi="Book Antiqua" w:cs="Book Antiqua"/>
        </w:rPr>
        <w:t>Posteriormente, el Represen</w:t>
      </w:r>
      <w:r>
        <w:rPr>
          <w:rFonts w:ascii="Book Antiqua" w:eastAsia="Book Antiqua" w:hAnsi="Book Antiqua" w:cs="Book Antiqua"/>
        </w:rPr>
        <w:t xml:space="preserve">tante Heráclito </w:t>
      </w:r>
      <w:proofErr w:type="spellStart"/>
      <w:r>
        <w:rPr>
          <w:rFonts w:ascii="Book Antiqua" w:eastAsia="Book Antiqua" w:hAnsi="Book Antiqua" w:cs="Book Antiqua"/>
        </w:rPr>
        <w:t>Landinez</w:t>
      </w:r>
      <w:proofErr w:type="spellEnd"/>
      <w:r>
        <w:rPr>
          <w:rFonts w:ascii="Book Antiqua" w:eastAsia="Book Antiqua" w:hAnsi="Book Antiqua" w:cs="Book Antiqua"/>
        </w:rPr>
        <w:t xml:space="preserve"> presenta su renuncia a ser Ponente Coordinador, por lo cual mediante oficio C.P.C.P 3.1 - 0068 - 2023 se designa al Representante Pedro José Suarez </w:t>
      </w:r>
      <w:proofErr w:type="spellStart"/>
      <w:r>
        <w:rPr>
          <w:rFonts w:ascii="Book Antiqua" w:eastAsia="Book Antiqua" w:hAnsi="Book Antiqua" w:cs="Book Antiqua"/>
        </w:rPr>
        <w:t>Vacca</w:t>
      </w:r>
      <w:proofErr w:type="spellEnd"/>
      <w:r>
        <w:rPr>
          <w:rFonts w:ascii="Book Antiqua" w:eastAsia="Book Antiqua" w:hAnsi="Book Antiqua" w:cs="Book Antiqua"/>
        </w:rPr>
        <w:t xml:space="preserve"> como coordinador ponente.</w:t>
      </w:r>
    </w:p>
    <w:p w:rsidR="00C232F1" w:rsidRDefault="00C232F1">
      <w:pPr>
        <w:jc w:val="both"/>
        <w:rPr>
          <w:rFonts w:ascii="Book Antiqua" w:eastAsia="Book Antiqua" w:hAnsi="Book Antiqua" w:cs="Book Antiqua"/>
        </w:rPr>
      </w:pPr>
    </w:p>
    <w:p w:rsidR="00C232F1" w:rsidRDefault="00D72FAD">
      <w:pPr>
        <w:jc w:val="both"/>
        <w:rPr>
          <w:rFonts w:ascii="Book Antiqua" w:eastAsia="Book Antiqua" w:hAnsi="Book Antiqua" w:cs="Book Antiqua"/>
        </w:rPr>
      </w:pPr>
      <w:r>
        <w:rPr>
          <w:rFonts w:ascii="Book Antiqua" w:eastAsia="Book Antiqua" w:hAnsi="Book Antiqua" w:cs="Book Antiqua"/>
        </w:rPr>
        <w:t xml:space="preserve">El día 08 de </w:t>
      </w:r>
      <w:proofErr w:type="gramStart"/>
      <w:r>
        <w:rPr>
          <w:rFonts w:ascii="Book Antiqua" w:eastAsia="Book Antiqua" w:hAnsi="Book Antiqua" w:cs="Book Antiqua"/>
        </w:rPr>
        <w:t>Mayo</w:t>
      </w:r>
      <w:proofErr w:type="gramEnd"/>
      <w:r>
        <w:rPr>
          <w:rFonts w:ascii="Book Antiqua" w:eastAsia="Book Antiqua" w:hAnsi="Book Antiqua" w:cs="Book Antiqua"/>
        </w:rPr>
        <w:t xml:space="preserve"> de 2024 el Representante </w:t>
      </w:r>
      <w:proofErr w:type="spellStart"/>
      <w:r>
        <w:rPr>
          <w:rFonts w:ascii="Book Antiqua" w:eastAsia="Book Antiqua" w:hAnsi="Book Antiqua" w:cs="Book Antiqua"/>
        </w:rPr>
        <w:t>Gersel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Perez</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Altamiranda</w:t>
      </w:r>
      <w:proofErr w:type="spellEnd"/>
      <w:r>
        <w:rPr>
          <w:rFonts w:ascii="Book Antiqua" w:eastAsia="Book Antiqua" w:hAnsi="Book Antiqua" w:cs="Book Antiqua"/>
        </w:rPr>
        <w:t xml:space="preserve"> presenta su renuncia a ser Ponente Coordinador.</w:t>
      </w:r>
    </w:p>
    <w:p w:rsidR="00C232F1" w:rsidRDefault="00C232F1">
      <w:pPr>
        <w:jc w:val="both"/>
        <w:rPr>
          <w:rFonts w:ascii="Book Antiqua" w:eastAsia="Book Antiqua" w:hAnsi="Book Antiqua" w:cs="Book Antiqua"/>
        </w:rPr>
      </w:pPr>
    </w:p>
    <w:p w:rsidR="00C232F1" w:rsidRDefault="00D72FAD">
      <w:pPr>
        <w:numPr>
          <w:ilvl w:val="0"/>
          <w:numId w:val="2"/>
        </w:numPr>
        <w:jc w:val="both"/>
        <w:rPr>
          <w:rFonts w:ascii="Book Antiqua" w:eastAsia="Book Antiqua" w:hAnsi="Book Antiqua" w:cs="Book Antiqua"/>
          <w:b/>
        </w:rPr>
      </w:pPr>
      <w:r>
        <w:rPr>
          <w:rFonts w:ascii="Book Antiqua" w:eastAsia="Book Antiqua" w:hAnsi="Book Antiqua" w:cs="Book Antiqua"/>
          <w:b/>
        </w:rPr>
        <w:t xml:space="preserve">OBJETO DEL PROYECTO DE LEY </w:t>
      </w:r>
    </w:p>
    <w:p w:rsidR="00C232F1" w:rsidRDefault="00C232F1">
      <w:pPr>
        <w:jc w:val="both"/>
        <w:rPr>
          <w:rFonts w:ascii="Book Antiqua" w:eastAsia="Book Antiqua" w:hAnsi="Book Antiqua" w:cs="Book Antiqua"/>
          <w:b/>
        </w:rPr>
      </w:pPr>
    </w:p>
    <w:p w:rsidR="00C232F1" w:rsidRDefault="00D72FAD">
      <w:pPr>
        <w:jc w:val="both"/>
        <w:rPr>
          <w:rFonts w:ascii="Book Antiqua" w:eastAsia="Book Antiqua" w:hAnsi="Book Antiqua" w:cs="Book Antiqua"/>
        </w:rPr>
      </w:pPr>
      <w:r>
        <w:rPr>
          <w:rFonts w:ascii="Book Antiqua" w:eastAsia="Book Antiqua" w:hAnsi="Book Antiqua" w:cs="Book Antiqua"/>
        </w:rPr>
        <w:t>El objeto del presente Proyecto de Ley, es reformar el sistema penal, el régimen disciplinario para el ejercic</w:t>
      </w:r>
      <w:r>
        <w:rPr>
          <w:rFonts w:ascii="Book Antiqua" w:eastAsia="Book Antiqua" w:hAnsi="Book Antiqua" w:cs="Book Antiqua"/>
        </w:rPr>
        <w:t xml:space="preserve">io del derecho y la Ley 1905 de 2018, así mismo modificar la conciliación extrajudicial contenciosa administrativa, fortalecer la defensa jurídica del Estado y reformar el Estatuto Arbitral, buscando poner en marcha propuestas de rápida implementación que </w:t>
      </w:r>
      <w:r>
        <w:rPr>
          <w:rFonts w:ascii="Book Antiqua" w:eastAsia="Book Antiqua" w:hAnsi="Book Antiqua" w:cs="Book Antiqua"/>
        </w:rPr>
        <w:t xml:space="preserve">permitan superar las deficiencias del aparato judicial , </w:t>
      </w:r>
      <w:r>
        <w:rPr>
          <w:rFonts w:ascii="Book Antiqua" w:eastAsia="Book Antiqua" w:hAnsi="Book Antiqua" w:cs="Book Antiqua"/>
        </w:rPr>
        <w:lastRenderedPageBreak/>
        <w:t xml:space="preserve">permitiendo así que se modernice y disminuyan los tiempos de definición de los procesos judiciales. </w:t>
      </w:r>
    </w:p>
    <w:p w:rsidR="00C232F1" w:rsidRDefault="00C232F1">
      <w:pPr>
        <w:rPr>
          <w:rFonts w:ascii="Book Antiqua" w:eastAsia="Book Antiqua" w:hAnsi="Book Antiqua" w:cs="Book Antiqua"/>
        </w:rPr>
      </w:pPr>
    </w:p>
    <w:p w:rsidR="00C232F1" w:rsidRDefault="00D72FAD">
      <w:pPr>
        <w:numPr>
          <w:ilvl w:val="0"/>
          <w:numId w:val="2"/>
        </w:numPr>
        <w:rPr>
          <w:rFonts w:ascii="Book Antiqua" w:eastAsia="Book Antiqua" w:hAnsi="Book Antiqua" w:cs="Book Antiqua"/>
          <w:b/>
        </w:rPr>
      </w:pPr>
      <w:r>
        <w:rPr>
          <w:rFonts w:ascii="Book Antiqua" w:eastAsia="Book Antiqua" w:hAnsi="Book Antiqua" w:cs="Book Antiqua"/>
          <w:b/>
        </w:rPr>
        <w:t>CONSIDERACIONES PONENCIA</w:t>
      </w:r>
    </w:p>
    <w:p w:rsidR="00C232F1" w:rsidRDefault="00D72FAD">
      <w:pPr>
        <w:spacing w:before="240" w:after="240" w:line="276" w:lineRule="auto"/>
        <w:jc w:val="both"/>
        <w:rPr>
          <w:rFonts w:ascii="Book Antiqua" w:eastAsia="Book Antiqua" w:hAnsi="Book Antiqua" w:cs="Book Antiqua"/>
        </w:rPr>
      </w:pPr>
      <w:r>
        <w:rPr>
          <w:rFonts w:ascii="Book Antiqua" w:eastAsia="Book Antiqua" w:hAnsi="Book Antiqua" w:cs="Book Antiqua"/>
        </w:rPr>
        <w:t>La iniciativa legislativa que propone una amplia reforma en el sistema j</w:t>
      </w:r>
      <w:r>
        <w:rPr>
          <w:rFonts w:ascii="Book Antiqua" w:eastAsia="Book Antiqua" w:hAnsi="Book Antiqua" w:cs="Book Antiqua"/>
        </w:rPr>
        <w:t>udicial y en el régimen disciplinario de los abogados en Colombia es una medida que, a primera vista, parece abordar las deficiencias y los problemas evidentes que aquejan al sistema de justicia del país. Sin embargo, un análisis más detenido revela que la</w:t>
      </w:r>
      <w:r>
        <w:rPr>
          <w:rFonts w:ascii="Book Antiqua" w:eastAsia="Book Antiqua" w:hAnsi="Book Antiqua" w:cs="Book Antiqua"/>
        </w:rPr>
        <w:t>s soluciones propuestas pueden no ser las más adecuadas para resolver los problemas fundamentales de la justicia colombiana.</w:t>
      </w:r>
    </w:p>
    <w:p w:rsidR="00C232F1" w:rsidRDefault="00D72FAD">
      <w:pPr>
        <w:spacing w:before="240" w:after="240" w:line="276" w:lineRule="auto"/>
        <w:jc w:val="both"/>
        <w:rPr>
          <w:rFonts w:ascii="Book Antiqua" w:eastAsia="Book Antiqua" w:hAnsi="Book Antiqua" w:cs="Book Antiqua"/>
        </w:rPr>
      </w:pPr>
      <w:r>
        <w:rPr>
          <w:rFonts w:ascii="Book Antiqua" w:eastAsia="Book Antiqua" w:hAnsi="Book Antiqua" w:cs="Book Antiqua"/>
        </w:rPr>
        <w:t>En primer lugar, es importante reconocer que la justicia colombiana enfrenta desafíos significativos, como la congestión de los tri</w:t>
      </w:r>
      <w:r>
        <w:rPr>
          <w:rFonts w:ascii="Book Antiqua" w:eastAsia="Book Antiqua" w:hAnsi="Book Antiqua" w:cs="Book Antiqua"/>
        </w:rPr>
        <w:t>bunales, la excesiva formalidad de los procedimientos, los constantes aplazamientos de audiencias y la baja utilización de mecanismos alternativos de resolución de conflictos. Estos problemas afectan la eficiencia y la eficacia del sistema judicial, erosio</w:t>
      </w:r>
      <w:r>
        <w:rPr>
          <w:rFonts w:ascii="Book Antiqua" w:eastAsia="Book Antiqua" w:hAnsi="Book Antiqua" w:cs="Book Antiqua"/>
        </w:rPr>
        <w:t>nando la confianza de los ciudadanos en la administración de justicia y perpetuando la impunidad.</w:t>
      </w:r>
    </w:p>
    <w:p w:rsidR="00C232F1" w:rsidRDefault="00D72FAD">
      <w:pPr>
        <w:jc w:val="both"/>
        <w:rPr>
          <w:rFonts w:ascii="Book Antiqua" w:eastAsia="Book Antiqua" w:hAnsi="Book Antiqua" w:cs="Book Antiqua"/>
        </w:rPr>
      </w:pPr>
      <w:r>
        <w:rPr>
          <w:rFonts w:ascii="Book Antiqua" w:eastAsia="Book Antiqua" w:hAnsi="Book Antiqua" w:cs="Book Antiqua"/>
        </w:rPr>
        <w:t>El proyecto de ley No.018 de 2023 Cámara, parece centrarse en cambios estructurales y procedimentales que podrían no abordar adecuadamente las causas subyacen</w:t>
      </w:r>
      <w:r>
        <w:rPr>
          <w:rFonts w:ascii="Book Antiqua" w:eastAsia="Book Antiqua" w:hAnsi="Book Antiqua" w:cs="Book Antiqua"/>
        </w:rPr>
        <w:t>tes de los problemas de la justicia colombiana, así mismo aborda múltiples aspectos del sistema judicial, desde el sistema penal hasta la conciliación administrativa y el estatuto arbitral. Su amplitud, ambigüedad y complejidad consideramos podrían dificul</w:t>
      </w:r>
      <w:r>
        <w:rPr>
          <w:rFonts w:ascii="Book Antiqua" w:eastAsia="Book Antiqua" w:hAnsi="Book Antiqua" w:cs="Book Antiqua"/>
        </w:rPr>
        <w:t>tar su implementación efectiva, generar confusión en la interpretación y aplicación de las nuevas disposiciones legales. Existe un alto riesgo de errores legislativos que podrían tener consecuencias negativas en la administración de justicia y en los derec</w:t>
      </w:r>
      <w:r>
        <w:rPr>
          <w:rFonts w:ascii="Book Antiqua" w:eastAsia="Book Antiqua" w:hAnsi="Book Antiqua" w:cs="Book Antiqua"/>
        </w:rPr>
        <w:t xml:space="preserve">hos de los ciudadanos. La claridad y coherencia de las disposiciones legales es indispensable para evitar interpretaciones erróneas y conflictos jurídicos. </w:t>
      </w:r>
    </w:p>
    <w:p w:rsidR="00C232F1" w:rsidRDefault="00C232F1">
      <w:pPr>
        <w:jc w:val="both"/>
        <w:rPr>
          <w:rFonts w:ascii="Book Antiqua" w:eastAsia="Book Antiqua" w:hAnsi="Book Antiqua" w:cs="Book Antiqua"/>
        </w:rPr>
      </w:pPr>
    </w:p>
    <w:p w:rsidR="00C232F1" w:rsidRDefault="00D72FAD">
      <w:pPr>
        <w:jc w:val="both"/>
        <w:rPr>
          <w:rFonts w:ascii="Book Antiqua" w:eastAsia="Book Antiqua" w:hAnsi="Book Antiqua" w:cs="Book Antiqua"/>
        </w:rPr>
      </w:pPr>
      <w:r>
        <w:rPr>
          <w:rFonts w:ascii="Book Antiqua" w:eastAsia="Book Antiqua" w:hAnsi="Book Antiqua" w:cs="Book Antiqua"/>
        </w:rPr>
        <w:t>Para dar trámite a una reforma tan amplia y compleja, es necesario realizar una evaluación exhaust</w:t>
      </w:r>
      <w:r>
        <w:rPr>
          <w:rFonts w:ascii="Book Antiqua" w:eastAsia="Book Antiqua" w:hAnsi="Book Antiqua" w:cs="Book Antiqua"/>
        </w:rPr>
        <w:t>iva de las leyes y procedimientos existentes, identificando sus fortalezas y debilidades. Esto permitiría diseñar intervenciones específicas y focalizadas que aborden los problemas reales y eviten la introducción de cambios innecesarios o contraproducentes</w:t>
      </w:r>
      <w:r>
        <w:rPr>
          <w:rFonts w:ascii="Book Antiqua" w:eastAsia="Book Antiqua" w:hAnsi="Book Antiqua" w:cs="Book Antiqua"/>
        </w:rPr>
        <w:t xml:space="preserve">. </w:t>
      </w:r>
    </w:p>
    <w:p w:rsidR="00C232F1" w:rsidRDefault="00C232F1">
      <w:pPr>
        <w:jc w:val="both"/>
        <w:rPr>
          <w:rFonts w:ascii="Book Antiqua" w:eastAsia="Book Antiqua" w:hAnsi="Book Antiqua" w:cs="Book Antiqua"/>
        </w:rPr>
      </w:pPr>
    </w:p>
    <w:p w:rsidR="00C232F1" w:rsidRDefault="00D72FAD">
      <w:pPr>
        <w:jc w:val="both"/>
        <w:rPr>
          <w:rFonts w:ascii="Book Antiqua" w:eastAsia="Book Antiqua" w:hAnsi="Book Antiqua" w:cs="Book Antiqua"/>
        </w:rPr>
      </w:pPr>
      <w:r>
        <w:rPr>
          <w:rFonts w:ascii="Book Antiqua" w:eastAsia="Book Antiqua" w:hAnsi="Book Antiqua" w:cs="Book Antiqua"/>
        </w:rPr>
        <w:t>Se evidencian algunas modificaciones en materia político criminal de gran relevancia, como los son la eliminación de la audiencia de imputación; la obligatoriedad de un abogado suplente; la compulsa de copias en los casos en los que el abogado no asist</w:t>
      </w:r>
      <w:r>
        <w:rPr>
          <w:rFonts w:ascii="Book Antiqua" w:eastAsia="Book Antiqua" w:hAnsi="Book Antiqua" w:cs="Book Antiqua"/>
        </w:rPr>
        <w:t xml:space="preserve">e a más de una audiencia; que en los procesos de primera instancia el imputado sólo podrá cambiar una vez de abogado, a partir de la audiencia de acusación; que la </w:t>
      </w:r>
      <w:r>
        <w:rPr>
          <w:rFonts w:ascii="Book Antiqua" w:eastAsia="Book Antiqua" w:hAnsi="Book Antiqua" w:cs="Book Antiqua"/>
        </w:rPr>
        <w:lastRenderedPageBreak/>
        <w:t>Fiscalía sólo podrá solicitar el aplazamiento de una actuación en una ocasión; la eliminació</w:t>
      </w:r>
      <w:r>
        <w:rPr>
          <w:rFonts w:ascii="Book Antiqua" w:eastAsia="Book Antiqua" w:hAnsi="Book Antiqua" w:cs="Book Antiqua"/>
        </w:rPr>
        <w:t>n de la posibilidad de sustentar oralmente el recurso de apelación; la reestructuración de las causales de terminación del proceso penal; la propuesta de permitir la preclusión y la absolución perentoria por cualquier causal antes de la sentencia podría so</w:t>
      </w:r>
      <w:r>
        <w:rPr>
          <w:rFonts w:ascii="Book Antiqua" w:eastAsia="Book Antiqua" w:hAnsi="Book Antiqua" w:cs="Book Antiqua"/>
        </w:rPr>
        <w:t>cavar el principio de legalidad y la garantía de un juicio justo, al otorgar amplios poderes discrecionales al fiscal y al juez, entre otros.</w:t>
      </w:r>
    </w:p>
    <w:p w:rsidR="00C232F1" w:rsidRDefault="00C232F1">
      <w:pPr>
        <w:jc w:val="both"/>
        <w:rPr>
          <w:rFonts w:ascii="Book Antiqua" w:eastAsia="Book Antiqua" w:hAnsi="Book Antiqua" w:cs="Book Antiqua"/>
        </w:rPr>
      </w:pPr>
    </w:p>
    <w:p w:rsidR="00C232F1" w:rsidRDefault="00D72FAD">
      <w:pPr>
        <w:jc w:val="both"/>
        <w:rPr>
          <w:rFonts w:ascii="Book Antiqua" w:eastAsia="Book Antiqua" w:hAnsi="Book Antiqua" w:cs="Book Antiqua"/>
        </w:rPr>
      </w:pPr>
      <w:r>
        <w:rPr>
          <w:rFonts w:ascii="Book Antiqua" w:eastAsia="Book Antiqua" w:hAnsi="Book Antiqua" w:cs="Book Antiqua"/>
        </w:rPr>
        <w:t xml:space="preserve">De las anteriores, no se encuentra sustento en evidencia empírica, ni respaldo técnico necesario para garantizar </w:t>
      </w:r>
      <w:r>
        <w:rPr>
          <w:rFonts w:ascii="Book Antiqua" w:eastAsia="Book Antiqua" w:hAnsi="Book Antiqua" w:cs="Book Antiqua"/>
        </w:rPr>
        <w:t xml:space="preserve">su viabilidad y eficacia. Antes de implementar cambios significativos en el sistema judicial, es crucial contar con estudios y análisis que demuestren su efectividad y beneficios concretos para nuestra sociedad y el funcionamiento del sistema judicial. No </w:t>
      </w:r>
      <w:r>
        <w:rPr>
          <w:rFonts w:ascii="Book Antiqua" w:eastAsia="Book Antiqua" w:hAnsi="Book Antiqua" w:cs="Book Antiqua"/>
        </w:rPr>
        <w:t>obstante, no es el caso.</w:t>
      </w:r>
    </w:p>
    <w:p w:rsidR="00C232F1" w:rsidRDefault="00C232F1">
      <w:pPr>
        <w:jc w:val="both"/>
        <w:rPr>
          <w:rFonts w:ascii="Book Antiqua" w:eastAsia="Book Antiqua" w:hAnsi="Book Antiqua" w:cs="Book Antiqua"/>
        </w:rPr>
      </w:pPr>
    </w:p>
    <w:p w:rsidR="00C232F1" w:rsidRDefault="00D72FAD">
      <w:pPr>
        <w:jc w:val="both"/>
        <w:rPr>
          <w:rFonts w:ascii="Book Antiqua" w:eastAsia="Book Antiqua" w:hAnsi="Book Antiqua" w:cs="Book Antiqua"/>
        </w:rPr>
      </w:pPr>
      <w:r>
        <w:rPr>
          <w:rFonts w:ascii="Book Antiqua" w:eastAsia="Book Antiqua" w:hAnsi="Book Antiqua" w:cs="Book Antiqua"/>
        </w:rPr>
        <w:t>Esta falta de sustento técnico puede conllevar a consecuencias imprevistas y potencialmente perjudiciales para el sistema judicial y para los ciudadanos. Las modificaciones mal concebidas podrían generar confusiones legales, aumen</w:t>
      </w:r>
      <w:r>
        <w:rPr>
          <w:rFonts w:ascii="Book Antiqua" w:eastAsia="Book Antiqua" w:hAnsi="Book Antiqua" w:cs="Book Antiqua"/>
        </w:rPr>
        <w:t>tar la carga procesal, debilitar los mecanismos de protección de los derechos individuales, e incluso reforzar aquellas fallas del sistema que se pretenden eliminar.</w:t>
      </w:r>
    </w:p>
    <w:p w:rsidR="00C232F1" w:rsidRDefault="00C232F1">
      <w:pPr>
        <w:jc w:val="both"/>
        <w:rPr>
          <w:rFonts w:ascii="Book Antiqua" w:eastAsia="Book Antiqua" w:hAnsi="Book Antiqua" w:cs="Book Antiqua"/>
        </w:rPr>
      </w:pPr>
    </w:p>
    <w:p w:rsidR="00C232F1" w:rsidRDefault="00D72FAD">
      <w:pPr>
        <w:jc w:val="both"/>
        <w:rPr>
          <w:rFonts w:ascii="Book Antiqua" w:eastAsia="Book Antiqua" w:hAnsi="Book Antiqua" w:cs="Book Antiqua"/>
          <w:b/>
        </w:rPr>
      </w:pPr>
      <w:r>
        <w:rPr>
          <w:rFonts w:ascii="Book Antiqua" w:eastAsia="Book Antiqua" w:hAnsi="Book Antiqua" w:cs="Book Antiqua"/>
          <w:b/>
        </w:rPr>
        <w:t>Modificaciones al Código de Procedimiento Penal</w:t>
      </w:r>
    </w:p>
    <w:p w:rsidR="00C232F1" w:rsidRDefault="00C232F1">
      <w:pPr>
        <w:jc w:val="both"/>
        <w:rPr>
          <w:rFonts w:ascii="Book Antiqua" w:eastAsia="Book Antiqua" w:hAnsi="Book Antiqua" w:cs="Book Antiqua"/>
          <w:b/>
        </w:rPr>
      </w:pPr>
    </w:p>
    <w:p w:rsidR="00C232F1" w:rsidRDefault="00D72FAD">
      <w:pPr>
        <w:jc w:val="both"/>
        <w:rPr>
          <w:rFonts w:ascii="Book Antiqua" w:eastAsia="Book Antiqua" w:hAnsi="Book Antiqua" w:cs="Book Antiqua"/>
        </w:rPr>
      </w:pPr>
      <w:r>
        <w:rPr>
          <w:rFonts w:ascii="Book Antiqua" w:eastAsia="Book Antiqua" w:hAnsi="Book Antiqua" w:cs="Book Antiqua"/>
        </w:rPr>
        <w:t>Algunas de las preocupaciones frente a l</w:t>
      </w:r>
      <w:r>
        <w:rPr>
          <w:rFonts w:ascii="Book Antiqua" w:eastAsia="Book Antiqua" w:hAnsi="Book Antiqua" w:cs="Book Antiqua"/>
        </w:rPr>
        <w:t>as disposiciones que contiene el proyecto de ley en materia penal, son:</w:t>
      </w:r>
    </w:p>
    <w:p w:rsidR="00C232F1" w:rsidRDefault="00C232F1">
      <w:pPr>
        <w:jc w:val="both"/>
        <w:rPr>
          <w:rFonts w:ascii="Book Antiqua" w:eastAsia="Book Antiqua" w:hAnsi="Book Antiqua" w:cs="Book Antiqua"/>
        </w:rPr>
      </w:pPr>
    </w:p>
    <w:p w:rsidR="00C232F1" w:rsidRDefault="00D72FAD">
      <w:pPr>
        <w:numPr>
          <w:ilvl w:val="0"/>
          <w:numId w:val="3"/>
        </w:numPr>
        <w:spacing w:before="240" w:line="276" w:lineRule="auto"/>
        <w:jc w:val="both"/>
      </w:pPr>
      <w:r>
        <w:rPr>
          <w:rFonts w:ascii="Book Antiqua" w:eastAsia="Book Antiqua" w:hAnsi="Book Antiqua" w:cs="Book Antiqua"/>
          <w:b/>
        </w:rPr>
        <w:t>Pérdida de garantías procesales:</w:t>
      </w:r>
      <w:r>
        <w:rPr>
          <w:rFonts w:ascii="Book Antiqua" w:eastAsia="Book Antiqua" w:hAnsi="Book Antiqua" w:cs="Book Antiqua"/>
        </w:rPr>
        <w:t xml:space="preserve"> Eliminar la audiencia de formulación de imputación y la fase intermedia del procedimiento penal podría implicar una reducción en las garantías procesa</w:t>
      </w:r>
      <w:r>
        <w:rPr>
          <w:rFonts w:ascii="Book Antiqua" w:eastAsia="Book Antiqua" w:hAnsi="Book Antiqua" w:cs="Book Antiqua"/>
        </w:rPr>
        <w:t>les de los imputados. Estas etapas son fundamentales para asegurar que se respeten los derechos de los acusados, como el derecho a la defensa y el debido proceso. Al eliminar estas instancias, se corre el riesgo de limitar la posibilidad de los imputados d</w:t>
      </w:r>
      <w:r>
        <w:rPr>
          <w:rFonts w:ascii="Book Antiqua" w:eastAsia="Book Antiqua" w:hAnsi="Book Antiqua" w:cs="Book Antiqua"/>
        </w:rPr>
        <w:t>e preparar adecuadamente su defensa y de ser escuchados en un momento crucial del proceso.</w:t>
      </w:r>
    </w:p>
    <w:p w:rsidR="00C232F1" w:rsidRDefault="00D72FAD">
      <w:pPr>
        <w:numPr>
          <w:ilvl w:val="0"/>
          <w:numId w:val="3"/>
        </w:numPr>
        <w:spacing w:line="276" w:lineRule="auto"/>
        <w:jc w:val="both"/>
      </w:pPr>
      <w:r>
        <w:rPr>
          <w:rFonts w:ascii="Book Antiqua" w:eastAsia="Book Antiqua" w:hAnsi="Book Antiqua" w:cs="Book Antiqua"/>
          <w:b/>
        </w:rPr>
        <w:t>Riesgo de decisiones precipitadas:</w:t>
      </w:r>
      <w:r>
        <w:rPr>
          <w:rFonts w:ascii="Book Antiqua" w:eastAsia="Book Antiqua" w:hAnsi="Book Antiqua" w:cs="Book Antiqua"/>
        </w:rPr>
        <w:t xml:space="preserve"> La propuesta de permitir la preclusión y la absolución perentoria por cualquier causal antes de la sentencia podría llevar a decisiones precipitadas por parte de los fiscales y los jueces. Esto podría resultar en la terminación prematura de casos sin un a</w:t>
      </w:r>
      <w:r>
        <w:rPr>
          <w:rFonts w:ascii="Book Antiqua" w:eastAsia="Book Antiqua" w:hAnsi="Book Antiqua" w:cs="Book Antiqua"/>
        </w:rPr>
        <w:t>nálisis exhaustivo de las pruebas y las circunstancias, lo que aumentaría el riesgo de errores judiciales y de injusticias.</w:t>
      </w:r>
    </w:p>
    <w:p w:rsidR="00C232F1" w:rsidRDefault="00D72FAD">
      <w:pPr>
        <w:numPr>
          <w:ilvl w:val="0"/>
          <w:numId w:val="3"/>
        </w:numPr>
        <w:spacing w:line="276" w:lineRule="auto"/>
        <w:jc w:val="both"/>
      </w:pPr>
      <w:r>
        <w:rPr>
          <w:rFonts w:ascii="Book Antiqua" w:eastAsia="Book Antiqua" w:hAnsi="Book Antiqua" w:cs="Book Antiqua"/>
          <w:b/>
        </w:rPr>
        <w:t xml:space="preserve">Impacto en la víctima y la sociedad: </w:t>
      </w:r>
      <w:r>
        <w:rPr>
          <w:rFonts w:ascii="Book Antiqua" w:eastAsia="Book Antiqua" w:hAnsi="Book Antiqua" w:cs="Book Antiqua"/>
        </w:rPr>
        <w:t>La reintroducción de la indemnización integral como forma de terminación anticipada del proceso</w:t>
      </w:r>
      <w:r>
        <w:rPr>
          <w:rFonts w:ascii="Book Antiqua" w:eastAsia="Book Antiqua" w:hAnsi="Book Antiqua" w:cs="Book Antiqua"/>
        </w:rPr>
        <w:t xml:space="preserve"> podría tener un </w:t>
      </w:r>
      <w:r>
        <w:rPr>
          <w:rFonts w:ascii="Book Antiqua" w:eastAsia="Book Antiqua" w:hAnsi="Book Antiqua" w:cs="Book Antiqua"/>
        </w:rPr>
        <w:lastRenderedPageBreak/>
        <w:t>impacto negativo en las víctimas de delitos. En lugar de buscar la verdad y la justicia, esta medida podría incentivar acuerdos económicos que no satisfagan plenamente los derechos de las víctimas ni promuevan la responsabilidad penal de l</w:t>
      </w:r>
      <w:r>
        <w:rPr>
          <w:rFonts w:ascii="Book Antiqua" w:eastAsia="Book Antiqua" w:hAnsi="Book Antiqua" w:cs="Book Antiqua"/>
        </w:rPr>
        <w:t>os acusados. Esto podría socavar la confianza en el sistema de justicia y en la capacidad del Estado para proteger a sus ciudadanos.</w:t>
      </w:r>
    </w:p>
    <w:p w:rsidR="00C232F1" w:rsidRDefault="00D72FAD">
      <w:pPr>
        <w:numPr>
          <w:ilvl w:val="0"/>
          <w:numId w:val="3"/>
        </w:numPr>
        <w:spacing w:line="276" w:lineRule="auto"/>
        <w:jc w:val="both"/>
      </w:pPr>
      <w:r>
        <w:rPr>
          <w:rFonts w:ascii="Book Antiqua" w:eastAsia="Book Antiqua" w:hAnsi="Book Antiqua" w:cs="Book Antiqua"/>
          <w:b/>
        </w:rPr>
        <w:t>Desbalance de poder:</w:t>
      </w:r>
      <w:r>
        <w:rPr>
          <w:rFonts w:ascii="Book Antiqua" w:eastAsia="Book Antiqua" w:hAnsi="Book Antiqua" w:cs="Book Antiqua"/>
        </w:rPr>
        <w:t xml:space="preserve"> La propuesta de permitir que el fiscal solicite la suspensión del poder dispositivo de bienes y recurs</w:t>
      </w:r>
      <w:r>
        <w:rPr>
          <w:rFonts w:ascii="Book Antiqua" w:eastAsia="Book Antiqua" w:hAnsi="Book Antiqua" w:cs="Book Antiqua"/>
        </w:rPr>
        <w:t>os con fines de comiso sin una debida supervisión judicial podría generar un desbalance de poder en el sistema de justicia. Esto podría abrir la puerta a posibles abusos por parte de la Fiscalía y a la violación de los derechos de los imputados, especialme</w:t>
      </w:r>
      <w:r>
        <w:rPr>
          <w:rFonts w:ascii="Book Antiqua" w:eastAsia="Book Antiqua" w:hAnsi="Book Antiqua" w:cs="Book Antiqua"/>
        </w:rPr>
        <w:t>nte en casos donde se utilicen medidas cautelares de forma indiscriminada o desproporcionada.</w:t>
      </w:r>
    </w:p>
    <w:p w:rsidR="00C232F1" w:rsidRDefault="00D72FAD">
      <w:pPr>
        <w:numPr>
          <w:ilvl w:val="0"/>
          <w:numId w:val="3"/>
        </w:numPr>
        <w:spacing w:line="276" w:lineRule="auto"/>
        <w:jc w:val="both"/>
        <w:rPr>
          <w:rFonts w:ascii="Arial" w:eastAsia="Arial" w:hAnsi="Arial" w:cs="Arial"/>
        </w:rPr>
      </w:pPr>
      <w:r>
        <w:rPr>
          <w:rFonts w:ascii="Book Antiqua" w:eastAsia="Book Antiqua" w:hAnsi="Book Antiqua" w:cs="Book Antiqua"/>
          <w:b/>
        </w:rPr>
        <w:t>Ausencia del imputado</w:t>
      </w:r>
      <w:r>
        <w:rPr>
          <w:rFonts w:ascii="Book Antiqua" w:eastAsia="Book Antiqua" w:hAnsi="Book Antiqua" w:cs="Book Antiqua"/>
        </w:rPr>
        <w:t>: La declaración de persona ausente del imputado podría limitar su derecho a la defensa adecuada, ya que se le estaría privando de la oportunidad de participar activamente en el proceso penal. Esto podría generar situaciones donde el imputado no tenga la p</w:t>
      </w:r>
      <w:r>
        <w:rPr>
          <w:rFonts w:ascii="Book Antiqua" w:eastAsia="Book Antiqua" w:hAnsi="Book Antiqua" w:cs="Book Antiqua"/>
        </w:rPr>
        <w:t>osibilidad de presentar pruebas o argumentos a su favor, lo cual iría en contra del principio de igualdad procesal.</w:t>
      </w:r>
    </w:p>
    <w:p w:rsidR="00C232F1" w:rsidRDefault="00D72FAD">
      <w:pPr>
        <w:numPr>
          <w:ilvl w:val="0"/>
          <w:numId w:val="3"/>
        </w:numPr>
        <w:spacing w:after="240" w:line="276" w:lineRule="auto"/>
        <w:jc w:val="both"/>
        <w:rPr>
          <w:rFonts w:ascii="Arial" w:eastAsia="Arial" w:hAnsi="Arial" w:cs="Arial"/>
        </w:rPr>
      </w:pPr>
      <w:r>
        <w:rPr>
          <w:rFonts w:ascii="Book Antiqua" w:eastAsia="Book Antiqua" w:hAnsi="Book Antiqua" w:cs="Book Antiqua"/>
          <w:b/>
        </w:rPr>
        <w:t xml:space="preserve">Preacuerdos desde la formulación de imputación y Modalidades de aceptación de </w:t>
      </w:r>
      <w:r w:rsidR="00465E54">
        <w:rPr>
          <w:rFonts w:ascii="Book Antiqua" w:eastAsia="Book Antiqua" w:hAnsi="Book Antiqua" w:cs="Book Antiqua"/>
          <w:b/>
        </w:rPr>
        <w:t>cargos:</w:t>
      </w:r>
      <w:r>
        <w:rPr>
          <w:rFonts w:ascii="Book Antiqua" w:eastAsia="Book Antiqua" w:hAnsi="Book Antiqua" w:cs="Book Antiqua"/>
        </w:rPr>
        <w:t xml:space="preserve"> Estas disposiciones podrían incentivar la aceptación </w:t>
      </w:r>
      <w:r>
        <w:rPr>
          <w:rFonts w:ascii="Book Antiqua" w:eastAsia="Book Antiqua" w:hAnsi="Book Antiqua" w:cs="Book Antiqua"/>
        </w:rPr>
        <w:t xml:space="preserve">de cargos por parte del imputado de forma prematura, sin que se haya realizado una investigación exhaustiva y sin que se hayan evaluado todas las pruebas disponibles. Esto podría llevar a que personas inocentes acepten responsabilidades por delitos que no </w:t>
      </w:r>
      <w:r>
        <w:rPr>
          <w:rFonts w:ascii="Book Antiqua" w:eastAsia="Book Antiqua" w:hAnsi="Book Antiqua" w:cs="Book Antiqua"/>
        </w:rPr>
        <w:t>cometieron, afectando gravemente su derecho a un juicio justo.</w:t>
      </w:r>
    </w:p>
    <w:p w:rsidR="00C232F1" w:rsidRDefault="00D72FAD">
      <w:pPr>
        <w:spacing w:before="240" w:after="240"/>
        <w:jc w:val="both"/>
        <w:rPr>
          <w:rFonts w:ascii="Book Antiqua" w:eastAsia="Book Antiqua" w:hAnsi="Book Antiqua" w:cs="Book Antiqua"/>
          <w:b/>
        </w:rPr>
      </w:pPr>
      <w:r>
        <w:rPr>
          <w:rFonts w:ascii="Book Antiqua" w:eastAsia="Book Antiqua" w:hAnsi="Book Antiqua" w:cs="Book Antiqua"/>
          <w:b/>
        </w:rPr>
        <w:t>Modificaciones a la Ley 1905 - 2018</w:t>
      </w:r>
    </w:p>
    <w:p w:rsidR="00C232F1" w:rsidRDefault="00D72FAD">
      <w:pPr>
        <w:spacing w:before="240" w:after="240"/>
        <w:jc w:val="both"/>
        <w:rPr>
          <w:rFonts w:ascii="Book Antiqua" w:eastAsia="Book Antiqua" w:hAnsi="Book Antiqua" w:cs="Book Antiqua"/>
        </w:rPr>
      </w:pPr>
      <w:r>
        <w:rPr>
          <w:rFonts w:ascii="Book Antiqua" w:eastAsia="Book Antiqua" w:hAnsi="Book Antiqua" w:cs="Book Antiqua"/>
        </w:rPr>
        <w:t>En cuanto a las modificaciones que se proponen a la Ley 1905 de 2018, se hacen las siguientes consideraciones:</w:t>
      </w:r>
    </w:p>
    <w:p w:rsidR="00C232F1" w:rsidRDefault="00D72FAD">
      <w:pPr>
        <w:numPr>
          <w:ilvl w:val="0"/>
          <w:numId w:val="1"/>
        </w:numPr>
        <w:spacing w:before="240"/>
        <w:jc w:val="both"/>
        <w:rPr>
          <w:rFonts w:ascii="Book Antiqua" w:eastAsia="Book Antiqua" w:hAnsi="Book Antiqua" w:cs="Book Antiqua"/>
        </w:rPr>
      </w:pPr>
      <w:r>
        <w:rPr>
          <w:rFonts w:ascii="Book Antiqua" w:eastAsia="Book Antiqua" w:hAnsi="Book Antiqua" w:cs="Book Antiqua"/>
          <w:b/>
        </w:rPr>
        <w:t>Menoscabo del derecho a la igualdad de los abo</w:t>
      </w:r>
      <w:r>
        <w:rPr>
          <w:rFonts w:ascii="Book Antiqua" w:eastAsia="Book Antiqua" w:hAnsi="Book Antiqua" w:cs="Book Antiqua"/>
          <w:b/>
        </w:rPr>
        <w:t>gados:</w:t>
      </w:r>
      <w:r>
        <w:rPr>
          <w:rFonts w:ascii="Book Antiqua" w:eastAsia="Book Antiqua" w:hAnsi="Book Antiqua" w:cs="Book Antiqua"/>
        </w:rPr>
        <w:t xml:space="preserve"> El hecho de tener que presentar un examen cada 10 años para poder seguir ejerciendo resulta violatorio teniendo en cuenta que es la única profesión que requiere estar renovando mediante un </w:t>
      </w:r>
      <w:proofErr w:type="spellStart"/>
      <w:r>
        <w:rPr>
          <w:rFonts w:ascii="Book Antiqua" w:eastAsia="Book Antiqua" w:hAnsi="Book Antiqua" w:cs="Book Antiqua"/>
        </w:rPr>
        <w:t>exámen</w:t>
      </w:r>
      <w:proofErr w:type="spellEnd"/>
      <w:r>
        <w:rPr>
          <w:rFonts w:ascii="Book Antiqua" w:eastAsia="Book Antiqua" w:hAnsi="Book Antiqua" w:cs="Book Antiqua"/>
        </w:rPr>
        <w:t xml:space="preserve"> de conocimientos, su tarjeta profesional.</w:t>
      </w:r>
    </w:p>
    <w:p w:rsidR="00C232F1" w:rsidRDefault="00D72FAD">
      <w:pPr>
        <w:numPr>
          <w:ilvl w:val="0"/>
          <w:numId w:val="1"/>
        </w:numPr>
        <w:jc w:val="both"/>
        <w:rPr>
          <w:rFonts w:ascii="Book Antiqua" w:eastAsia="Book Antiqua" w:hAnsi="Book Antiqua" w:cs="Book Antiqua"/>
        </w:rPr>
      </w:pPr>
      <w:r>
        <w:rPr>
          <w:rFonts w:ascii="Book Antiqua" w:eastAsia="Book Antiqua" w:hAnsi="Book Antiqua" w:cs="Book Antiqua"/>
          <w:b/>
        </w:rPr>
        <w:t>Restriccion</w:t>
      </w:r>
      <w:r>
        <w:rPr>
          <w:rFonts w:ascii="Book Antiqua" w:eastAsia="Book Antiqua" w:hAnsi="Book Antiqua" w:cs="Book Antiqua"/>
          <w:b/>
        </w:rPr>
        <w:t>es en la representación:</w:t>
      </w:r>
      <w:r>
        <w:rPr>
          <w:rFonts w:ascii="Book Antiqua" w:eastAsia="Book Antiqua" w:hAnsi="Book Antiqua" w:cs="Book Antiqua"/>
        </w:rPr>
        <w:t xml:space="preserve"> Las limitaciones para representar a entidades públicas y la prohibición de demandarlas durante un período de dos años después de la gestión podrían afectar la libertad de ejercicio de los abogados y limitar su capacidad para defend</w:t>
      </w:r>
      <w:r>
        <w:rPr>
          <w:rFonts w:ascii="Book Antiqua" w:eastAsia="Book Antiqua" w:hAnsi="Book Antiqua" w:cs="Book Antiqua"/>
        </w:rPr>
        <w:t>er los intereses de sus clientes.</w:t>
      </w:r>
    </w:p>
    <w:p w:rsidR="00C232F1" w:rsidRDefault="00D72FAD">
      <w:pPr>
        <w:numPr>
          <w:ilvl w:val="0"/>
          <w:numId w:val="1"/>
        </w:numPr>
        <w:jc w:val="both"/>
        <w:rPr>
          <w:rFonts w:ascii="Book Antiqua" w:eastAsia="Book Antiqua" w:hAnsi="Book Antiqua" w:cs="Book Antiqua"/>
        </w:rPr>
      </w:pPr>
      <w:r>
        <w:rPr>
          <w:rFonts w:ascii="Book Antiqua" w:eastAsia="Book Antiqua" w:hAnsi="Book Antiqua" w:cs="Book Antiqua"/>
          <w:b/>
        </w:rPr>
        <w:lastRenderedPageBreak/>
        <w:t>Limitaciones en la defensa:</w:t>
      </w:r>
      <w:r>
        <w:rPr>
          <w:rFonts w:ascii="Book Antiqua" w:eastAsia="Book Antiqua" w:hAnsi="Book Antiqua" w:cs="Book Antiqua"/>
        </w:rPr>
        <w:t xml:space="preserve"> La restricción de cambiar de abogado solo una vez durante el proceso en primera instancia podría limitar la capacidad de los imputados para elegir la mejor defensa posible, lo que podría afectar</w:t>
      </w:r>
      <w:r>
        <w:rPr>
          <w:rFonts w:ascii="Book Antiqua" w:eastAsia="Book Antiqua" w:hAnsi="Book Antiqua" w:cs="Book Antiqua"/>
        </w:rPr>
        <w:t xml:space="preserve"> su derecho a un juicio justo.</w:t>
      </w:r>
    </w:p>
    <w:p w:rsidR="00C232F1" w:rsidRDefault="00D72FAD">
      <w:pPr>
        <w:numPr>
          <w:ilvl w:val="0"/>
          <w:numId w:val="1"/>
        </w:numPr>
        <w:spacing w:line="276" w:lineRule="auto"/>
        <w:jc w:val="both"/>
        <w:rPr>
          <w:rFonts w:ascii="Arial" w:eastAsia="Arial" w:hAnsi="Arial" w:cs="Arial"/>
        </w:rPr>
      </w:pPr>
      <w:r>
        <w:rPr>
          <w:rFonts w:ascii="Book Antiqua" w:eastAsia="Book Antiqua" w:hAnsi="Book Antiqua" w:cs="Book Antiqua"/>
          <w:b/>
        </w:rPr>
        <w:t>Vulneración al principio de presunción de inocencia</w:t>
      </w:r>
      <w:r>
        <w:rPr>
          <w:rFonts w:ascii="Book Antiqua" w:eastAsia="Book Antiqua" w:hAnsi="Book Antiqua" w:cs="Book Antiqua"/>
        </w:rPr>
        <w:t>: La exclusión del ejercicio de la profesión para aquellos que sean encontrados penalmente responsables por ciertos delitos contra la administración pública podría ser consid</w:t>
      </w:r>
      <w:r>
        <w:rPr>
          <w:rFonts w:ascii="Book Antiqua" w:eastAsia="Book Antiqua" w:hAnsi="Book Antiqua" w:cs="Book Antiqua"/>
        </w:rPr>
        <w:t>erada como una violación al principio de presunción de inocencia, al imponer una sanción sin esperar la sentencia judicial definitiva.</w:t>
      </w:r>
    </w:p>
    <w:p w:rsidR="00C232F1" w:rsidRDefault="00D72FAD">
      <w:pPr>
        <w:numPr>
          <w:ilvl w:val="0"/>
          <w:numId w:val="1"/>
        </w:numPr>
        <w:spacing w:after="240" w:line="276" w:lineRule="auto"/>
        <w:jc w:val="both"/>
        <w:rPr>
          <w:rFonts w:ascii="Arial" w:eastAsia="Arial" w:hAnsi="Arial" w:cs="Arial"/>
        </w:rPr>
      </w:pPr>
      <w:r>
        <w:rPr>
          <w:rFonts w:ascii="Book Antiqua" w:eastAsia="Book Antiqua" w:hAnsi="Book Antiqua" w:cs="Book Antiqua"/>
          <w:b/>
        </w:rPr>
        <w:t>Posible desincentivo a la conciliación:</w:t>
      </w:r>
      <w:r>
        <w:rPr>
          <w:rFonts w:ascii="Book Antiqua" w:eastAsia="Book Antiqua" w:hAnsi="Book Antiqua" w:cs="Book Antiqua"/>
        </w:rPr>
        <w:t xml:space="preserve"> Las disposiciones que impiden repetir contra servidores públicos en caso de conci</w:t>
      </w:r>
      <w:r>
        <w:rPr>
          <w:rFonts w:ascii="Book Antiqua" w:eastAsia="Book Antiqua" w:hAnsi="Book Antiqua" w:cs="Book Antiqua"/>
        </w:rPr>
        <w:t>liación podrían desincentivar la búsqueda de acuerdos extrajudiciales, lo que podría afectar la eficiencia y la resolución rápida de conflictos.</w:t>
      </w:r>
    </w:p>
    <w:p w:rsidR="00C232F1" w:rsidRDefault="00D72FAD">
      <w:pPr>
        <w:jc w:val="both"/>
        <w:rPr>
          <w:rFonts w:ascii="Book Antiqua" w:eastAsia="Book Antiqua" w:hAnsi="Book Antiqua" w:cs="Book Antiqua"/>
          <w:b/>
        </w:rPr>
      </w:pPr>
      <w:r>
        <w:rPr>
          <w:rFonts w:ascii="Book Antiqua" w:eastAsia="Book Antiqua" w:hAnsi="Book Antiqua" w:cs="Book Antiqua"/>
          <w:b/>
        </w:rPr>
        <w:t xml:space="preserve">Vulneración al Principio de Unidad de Materia </w:t>
      </w:r>
    </w:p>
    <w:p w:rsidR="00C232F1" w:rsidRDefault="00C232F1">
      <w:pPr>
        <w:jc w:val="both"/>
        <w:rPr>
          <w:rFonts w:ascii="Book Antiqua" w:eastAsia="Book Antiqua" w:hAnsi="Book Antiqua" w:cs="Book Antiqua"/>
          <w:b/>
        </w:rPr>
      </w:pPr>
    </w:p>
    <w:p w:rsidR="00C232F1" w:rsidRDefault="00D72FAD">
      <w:pPr>
        <w:jc w:val="both"/>
        <w:rPr>
          <w:rFonts w:ascii="Book Antiqua" w:eastAsia="Book Antiqua" w:hAnsi="Book Antiqua" w:cs="Book Antiqua"/>
        </w:rPr>
      </w:pPr>
      <w:r>
        <w:rPr>
          <w:rFonts w:ascii="Book Antiqua" w:eastAsia="Book Antiqua" w:hAnsi="Book Antiqua" w:cs="Book Antiqua"/>
        </w:rPr>
        <w:t>El principio de Unidad de Materia se encuentra consagrado en el</w:t>
      </w:r>
      <w:r>
        <w:rPr>
          <w:rFonts w:ascii="Book Antiqua" w:eastAsia="Book Antiqua" w:hAnsi="Book Antiqua" w:cs="Book Antiqua"/>
        </w:rPr>
        <w:t xml:space="preserve"> artículo 158 de la Constitución Política de Colombia:</w:t>
      </w:r>
    </w:p>
    <w:p w:rsidR="00C232F1" w:rsidRDefault="00C232F1">
      <w:pPr>
        <w:jc w:val="both"/>
        <w:rPr>
          <w:rFonts w:ascii="Book Antiqua" w:eastAsia="Book Antiqua" w:hAnsi="Book Antiqua" w:cs="Book Antiqua"/>
          <w:b/>
          <w:color w:val="BE9E55"/>
        </w:rPr>
      </w:pPr>
    </w:p>
    <w:p w:rsidR="00C232F1" w:rsidRDefault="00D72FAD">
      <w:pPr>
        <w:ind w:left="720"/>
        <w:jc w:val="both"/>
        <w:rPr>
          <w:rFonts w:ascii="Book Antiqua" w:eastAsia="Book Antiqua" w:hAnsi="Book Antiqua" w:cs="Book Antiqua"/>
        </w:rPr>
      </w:pPr>
      <w:r>
        <w:rPr>
          <w:rFonts w:ascii="Book Antiqua" w:eastAsia="Book Antiqua" w:hAnsi="Book Antiqua" w:cs="Book Antiqua"/>
          <w:b/>
          <w:i/>
        </w:rPr>
        <w:t xml:space="preserve">“ARTÍCULO 158. </w:t>
      </w:r>
      <w:r>
        <w:rPr>
          <w:rFonts w:ascii="Book Antiqua" w:eastAsia="Book Antiqua" w:hAnsi="Book Antiqua" w:cs="Book Antiqua"/>
          <w:i/>
          <w:u w:val="single"/>
        </w:rPr>
        <w:t>Todo proyecto de ley debe referirse a una misma materia y serán inadmisibles las disposiciones o modificaciones que no se relacionen con ella</w:t>
      </w:r>
      <w:r>
        <w:rPr>
          <w:rFonts w:ascii="Book Antiqua" w:eastAsia="Book Antiqua" w:hAnsi="Book Antiqua" w:cs="Book Antiqua"/>
          <w:i/>
        </w:rPr>
        <w:t>. El Presidente de la respectiva comisión re</w:t>
      </w:r>
      <w:r>
        <w:rPr>
          <w:rFonts w:ascii="Book Antiqua" w:eastAsia="Book Antiqua" w:hAnsi="Book Antiqua" w:cs="Book Antiqua"/>
          <w:i/>
        </w:rPr>
        <w:t xml:space="preserve">chazará las iniciativas que no se avengan con este precepto, pero sus decisiones serán apelables ante la misma comisión. La ley que sea objeto de reforma parcial se publicará en un solo texto que incorpore las modificaciones aprobadas.” </w:t>
      </w:r>
      <w:r>
        <w:rPr>
          <w:rFonts w:ascii="Book Antiqua" w:eastAsia="Book Antiqua" w:hAnsi="Book Antiqua" w:cs="Book Antiqua"/>
        </w:rPr>
        <w:t>(Subrayado fuera de</w:t>
      </w:r>
      <w:r>
        <w:rPr>
          <w:rFonts w:ascii="Book Antiqua" w:eastAsia="Book Antiqua" w:hAnsi="Book Antiqua" w:cs="Book Antiqua"/>
        </w:rPr>
        <w:t>l texto original)</w:t>
      </w:r>
    </w:p>
    <w:p w:rsidR="00C232F1" w:rsidRDefault="00C232F1">
      <w:pPr>
        <w:rPr>
          <w:rFonts w:ascii="Book Antiqua" w:eastAsia="Book Antiqua" w:hAnsi="Book Antiqua" w:cs="Book Antiqua"/>
        </w:rPr>
      </w:pPr>
    </w:p>
    <w:p w:rsidR="00C232F1" w:rsidRDefault="00D72FAD">
      <w:pPr>
        <w:jc w:val="both"/>
        <w:rPr>
          <w:rFonts w:ascii="Book Antiqua" w:eastAsia="Book Antiqua" w:hAnsi="Book Antiqua" w:cs="Book Antiqua"/>
        </w:rPr>
      </w:pPr>
      <w:r>
        <w:rPr>
          <w:rFonts w:ascii="Book Antiqua" w:eastAsia="Book Antiqua" w:hAnsi="Book Antiqua" w:cs="Book Antiqua"/>
        </w:rPr>
        <w:t>Este principio busca asegurar la coherencia y congruencia que debe tener el proyecto de Ley en cuanto a las disposiciones que este contempla, establece que este debe tener un tema central o una materia principal que la sustente, evitando</w:t>
      </w:r>
      <w:r>
        <w:rPr>
          <w:rFonts w:ascii="Book Antiqua" w:eastAsia="Book Antiqua" w:hAnsi="Book Antiqua" w:cs="Book Antiqua"/>
        </w:rPr>
        <w:t xml:space="preserve"> la inclusión de disposiciones que no guarden relación directa con el tema principal de la </w:t>
      </w:r>
      <w:proofErr w:type="spellStart"/>
      <w:proofErr w:type="gramStart"/>
      <w:r>
        <w:rPr>
          <w:rFonts w:ascii="Book Antiqua" w:eastAsia="Book Antiqua" w:hAnsi="Book Antiqua" w:cs="Book Antiqua"/>
        </w:rPr>
        <w:t>norma,con</w:t>
      </w:r>
      <w:proofErr w:type="spellEnd"/>
      <w:proofErr w:type="gramEnd"/>
      <w:r>
        <w:rPr>
          <w:rFonts w:ascii="Book Antiqua" w:eastAsia="Book Antiqua" w:hAnsi="Book Antiqua" w:cs="Book Antiqua"/>
        </w:rPr>
        <w:t xml:space="preserve"> el fin de lograr un debate que permita la materialización del principio democrático.</w:t>
      </w:r>
    </w:p>
    <w:p w:rsidR="00C232F1" w:rsidRDefault="00D72FAD">
      <w:pPr>
        <w:spacing w:before="240" w:after="240"/>
        <w:jc w:val="both"/>
        <w:rPr>
          <w:rFonts w:ascii="Book Antiqua" w:eastAsia="Book Antiqua" w:hAnsi="Book Antiqua" w:cs="Book Antiqua"/>
        </w:rPr>
      </w:pPr>
      <w:r>
        <w:rPr>
          <w:rFonts w:ascii="Book Antiqua" w:eastAsia="Book Antiqua" w:hAnsi="Book Antiqua" w:cs="Book Antiqua"/>
        </w:rPr>
        <w:t>En otras palabras, una ley no puede abordar múltiples temas no relacionados entre sí. Esto es importante para mantener la claridad y la transparencia en la legislación, facilitando su comprensión y aplicación por parte de los ciudadanos y las autoridades.</w:t>
      </w:r>
    </w:p>
    <w:p w:rsidR="00C232F1" w:rsidRPr="00465E54" w:rsidRDefault="00D72FAD">
      <w:pPr>
        <w:spacing w:before="240" w:after="240"/>
        <w:jc w:val="both"/>
        <w:rPr>
          <w:rFonts w:ascii="Book Antiqua" w:eastAsia="Book Antiqua" w:hAnsi="Book Antiqua" w:cs="Book Antiqua"/>
        </w:rPr>
      </w:pPr>
      <w:r>
        <w:rPr>
          <w:rFonts w:ascii="Book Antiqua" w:eastAsia="Book Antiqua" w:hAnsi="Book Antiqua" w:cs="Book Antiqua"/>
        </w:rPr>
        <w:t xml:space="preserve">Frente al proyecto de ley en concreto, encontramos que se abordan diferentes temas, rompiendo claramente con el principio de unidad de materia. Al tratar diferentes aspectos del ordenamiento jurídico </w:t>
      </w:r>
      <w:proofErr w:type="gramStart"/>
      <w:r>
        <w:rPr>
          <w:rFonts w:ascii="Book Antiqua" w:eastAsia="Book Antiqua" w:hAnsi="Book Antiqua" w:cs="Book Antiqua"/>
        </w:rPr>
        <w:t>Colombiano</w:t>
      </w:r>
      <w:proofErr w:type="gramEnd"/>
      <w:r>
        <w:rPr>
          <w:rFonts w:ascii="Book Antiqua" w:eastAsia="Book Antiqua" w:hAnsi="Book Antiqua" w:cs="Book Antiqua"/>
        </w:rPr>
        <w:t xml:space="preserve"> termina haciendo que el texto sea de difícil </w:t>
      </w:r>
      <w:r>
        <w:rPr>
          <w:rFonts w:ascii="Book Antiqua" w:eastAsia="Book Antiqua" w:hAnsi="Book Antiqua" w:cs="Book Antiqua"/>
        </w:rPr>
        <w:t>acceso, interpretación y aplicación y por tanto no guarda respeto a la coherencia que debe tener el proceso legislativo, acorde con el mandato constitucional.</w:t>
      </w:r>
    </w:p>
    <w:p w:rsidR="00C232F1" w:rsidRDefault="00D72FAD">
      <w:pPr>
        <w:spacing w:before="240" w:after="240"/>
        <w:jc w:val="both"/>
        <w:rPr>
          <w:rFonts w:ascii="Book Antiqua" w:eastAsia="Book Antiqua" w:hAnsi="Book Antiqua" w:cs="Book Antiqua"/>
          <w:b/>
        </w:rPr>
      </w:pPr>
      <w:r>
        <w:rPr>
          <w:rFonts w:ascii="Book Antiqua" w:eastAsia="Book Antiqua" w:hAnsi="Book Antiqua" w:cs="Book Antiqua"/>
          <w:b/>
        </w:rPr>
        <w:lastRenderedPageBreak/>
        <w:t>Inconveniencia del proyecto de Ley</w:t>
      </w:r>
    </w:p>
    <w:p w:rsidR="00C232F1" w:rsidRDefault="00D72FAD">
      <w:pPr>
        <w:spacing w:before="240" w:after="240"/>
        <w:jc w:val="both"/>
        <w:rPr>
          <w:rFonts w:ascii="Book Antiqua" w:eastAsia="Book Antiqua" w:hAnsi="Book Antiqua" w:cs="Book Antiqua"/>
        </w:rPr>
      </w:pPr>
      <w:r>
        <w:rPr>
          <w:rFonts w:ascii="Book Antiqua" w:eastAsia="Book Antiqua" w:hAnsi="Book Antiqua" w:cs="Book Antiqua"/>
        </w:rPr>
        <w:t>Al ser este un proyecto que contempla diferentes materias, es</w:t>
      </w:r>
      <w:r>
        <w:rPr>
          <w:rFonts w:ascii="Book Antiqua" w:eastAsia="Book Antiqua" w:hAnsi="Book Antiqua" w:cs="Book Antiqua"/>
        </w:rPr>
        <w:t xml:space="preserve"> ampliamente inconveniente, adicionalmente este proyecto no cuenta con un consenso por parte de los diferentes actores y posibles implicados, pues en las audiencias públicas y mesas de trabajo realizadas pudimos verificar que no existe un sector que se enc</w:t>
      </w:r>
      <w:r>
        <w:rPr>
          <w:rFonts w:ascii="Book Antiqua" w:eastAsia="Book Antiqua" w:hAnsi="Book Antiqua" w:cs="Book Antiqua"/>
        </w:rPr>
        <w:t xml:space="preserve">uentre de acuerdo con la totalidad del texto radicado. </w:t>
      </w:r>
    </w:p>
    <w:p w:rsidR="00C232F1" w:rsidRDefault="00D72FAD">
      <w:pPr>
        <w:spacing w:before="240" w:after="240"/>
        <w:jc w:val="both"/>
        <w:rPr>
          <w:rFonts w:ascii="Book Antiqua" w:eastAsia="Book Antiqua" w:hAnsi="Book Antiqua" w:cs="Book Antiqua"/>
        </w:rPr>
      </w:pPr>
      <w:r>
        <w:rPr>
          <w:rFonts w:ascii="Book Antiqua" w:eastAsia="Book Antiqua" w:hAnsi="Book Antiqua" w:cs="Book Antiqua"/>
        </w:rPr>
        <w:t>La inseguridad jurídica que crea este proyecto de ley debido a lo amplio y ambiguo del mismo, implica un impacto negativo que podría generar altos costos en el sistema, así como dificultad en la imple</w:t>
      </w:r>
      <w:r>
        <w:rPr>
          <w:rFonts w:ascii="Book Antiqua" w:eastAsia="Book Antiqua" w:hAnsi="Book Antiqua" w:cs="Book Antiqua"/>
        </w:rPr>
        <w:t xml:space="preserve">mentación del mismo. </w:t>
      </w:r>
    </w:p>
    <w:p w:rsidR="00C232F1" w:rsidRDefault="00D72FAD">
      <w:pPr>
        <w:spacing w:before="240" w:after="240"/>
        <w:jc w:val="both"/>
        <w:rPr>
          <w:rFonts w:ascii="Book Antiqua" w:eastAsia="Book Antiqua" w:hAnsi="Book Antiqua" w:cs="Book Antiqua"/>
        </w:rPr>
      </w:pPr>
      <w:r>
        <w:rPr>
          <w:rFonts w:ascii="Book Antiqua" w:eastAsia="Book Antiqua" w:hAnsi="Book Antiqua" w:cs="Book Antiqua"/>
        </w:rPr>
        <w:t xml:space="preserve">Es cierto que la justicia requiere reformas que actualicen los procesos a las realidades sociales que enfrentamos hoy en día, sin </w:t>
      </w:r>
      <w:proofErr w:type="gramStart"/>
      <w:r>
        <w:rPr>
          <w:rFonts w:ascii="Book Antiqua" w:eastAsia="Book Antiqua" w:hAnsi="Book Antiqua" w:cs="Book Antiqua"/>
        </w:rPr>
        <w:t>embargo</w:t>
      </w:r>
      <w:proofErr w:type="gramEnd"/>
      <w:r>
        <w:rPr>
          <w:rFonts w:ascii="Book Antiqua" w:eastAsia="Book Antiqua" w:hAnsi="Book Antiqua" w:cs="Book Antiqua"/>
        </w:rPr>
        <w:t xml:space="preserve"> estas reformas deben estar alineadas con los objetivos generales del sistema, las políticas públ</w:t>
      </w:r>
      <w:r>
        <w:rPr>
          <w:rFonts w:ascii="Book Antiqua" w:eastAsia="Book Antiqua" w:hAnsi="Book Antiqua" w:cs="Book Antiqua"/>
        </w:rPr>
        <w:t xml:space="preserve">icas existentes, reforzando así el ordenamiento jurídico Colombiano. </w:t>
      </w:r>
    </w:p>
    <w:p w:rsidR="00C232F1" w:rsidRDefault="00D72FAD">
      <w:pPr>
        <w:numPr>
          <w:ilvl w:val="0"/>
          <w:numId w:val="2"/>
        </w:numPr>
        <w:rPr>
          <w:rFonts w:ascii="Book Antiqua" w:eastAsia="Book Antiqua" w:hAnsi="Book Antiqua" w:cs="Book Antiqua"/>
          <w:b/>
        </w:rPr>
      </w:pPr>
      <w:r>
        <w:rPr>
          <w:rFonts w:ascii="Book Antiqua" w:eastAsia="Book Antiqua" w:hAnsi="Book Antiqua" w:cs="Book Antiqua"/>
          <w:b/>
        </w:rPr>
        <w:t>IMPACTO FISCAL</w:t>
      </w:r>
    </w:p>
    <w:p w:rsidR="00C232F1" w:rsidRDefault="00D72FAD">
      <w:pPr>
        <w:spacing w:before="240" w:after="240"/>
        <w:jc w:val="both"/>
        <w:rPr>
          <w:rFonts w:ascii="Book Antiqua" w:eastAsia="Book Antiqua" w:hAnsi="Book Antiqua" w:cs="Book Antiqua"/>
        </w:rPr>
      </w:pPr>
      <w:r>
        <w:rPr>
          <w:rFonts w:ascii="Book Antiqua" w:eastAsia="Book Antiqua" w:hAnsi="Book Antiqua" w:cs="Book Antiqua"/>
        </w:rPr>
        <w:t>De conformidad con lo expuesto en el artículo 7 de la Ley 819 de 2003, “Por el cual se dictan normas orgánicas en materia de presupuesto, responsabilidad, transparencia fi</w:t>
      </w:r>
      <w:r>
        <w:rPr>
          <w:rFonts w:ascii="Book Antiqua" w:eastAsia="Book Antiqua" w:hAnsi="Book Antiqua" w:cs="Book Antiqua"/>
        </w:rPr>
        <w:t>scal y se dictan otras disposiciones, donde se establece:</w:t>
      </w:r>
    </w:p>
    <w:p w:rsidR="00C232F1" w:rsidRDefault="00D72FAD">
      <w:pPr>
        <w:ind w:left="340" w:right="340"/>
        <w:jc w:val="both"/>
        <w:rPr>
          <w:rFonts w:ascii="Book Antiqua" w:eastAsia="Book Antiqua" w:hAnsi="Book Antiqua" w:cs="Book Antiqua"/>
          <w:i/>
        </w:rPr>
      </w:pPr>
      <w:r>
        <w:rPr>
          <w:rFonts w:ascii="Book Antiqua" w:eastAsia="Book Antiqua" w:hAnsi="Book Antiqua" w:cs="Book Antiqua"/>
          <w:i/>
        </w:rPr>
        <w:t>“En todo momento, el impacto fiscal de cualquier proyecto de Ley, ordenanza o acuerdo, que ordene gasto o que otorgue beneficios tributarios, deberá hacerse explícito y deberá ser compatible con el Marco Fiscal de Mediano Plazo”</w:t>
      </w:r>
    </w:p>
    <w:p w:rsidR="00C232F1" w:rsidRDefault="00C232F1">
      <w:pPr>
        <w:jc w:val="both"/>
        <w:rPr>
          <w:rFonts w:ascii="Book Antiqua" w:eastAsia="Book Antiqua" w:hAnsi="Book Antiqua" w:cs="Book Antiqua"/>
        </w:rPr>
      </w:pPr>
    </w:p>
    <w:p w:rsidR="00C232F1" w:rsidRDefault="00D72FAD">
      <w:pPr>
        <w:jc w:val="both"/>
        <w:rPr>
          <w:rFonts w:ascii="Book Antiqua" w:eastAsia="Book Antiqua" w:hAnsi="Book Antiqua" w:cs="Book Antiqua"/>
        </w:rPr>
      </w:pPr>
      <w:r>
        <w:rPr>
          <w:rFonts w:ascii="Book Antiqua" w:eastAsia="Book Antiqua" w:hAnsi="Book Antiqua" w:cs="Book Antiqua"/>
        </w:rPr>
        <w:t xml:space="preserve">Este proyecto implica una </w:t>
      </w:r>
      <w:r>
        <w:rPr>
          <w:rFonts w:ascii="Book Antiqua" w:eastAsia="Book Antiqua" w:hAnsi="Book Antiqua" w:cs="Book Antiqua"/>
        </w:rPr>
        <w:t>inversión significativa de recursos públicos, que incluyen costo de personal y gastos operativos. En un contexto de recursos fiscales limitados, esta inversión podría significar una reducción de fondos disponibles para otros sectores esenciales.</w:t>
      </w:r>
    </w:p>
    <w:p w:rsidR="00C232F1" w:rsidRDefault="00C232F1">
      <w:pPr>
        <w:jc w:val="both"/>
        <w:rPr>
          <w:rFonts w:ascii="Book Antiqua" w:eastAsia="Book Antiqua" w:hAnsi="Book Antiqua" w:cs="Book Antiqua"/>
        </w:rPr>
      </w:pPr>
    </w:p>
    <w:p w:rsidR="00C232F1" w:rsidRDefault="00D72FAD">
      <w:pPr>
        <w:jc w:val="both"/>
        <w:rPr>
          <w:rFonts w:ascii="Book Antiqua" w:eastAsia="Book Antiqua" w:hAnsi="Book Antiqua" w:cs="Book Antiqua"/>
          <w:b/>
        </w:rPr>
      </w:pPr>
      <w:r>
        <w:rPr>
          <w:rFonts w:ascii="Book Antiqua" w:eastAsia="Book Antiqua" w:hAnsi="Book Antiqua" w:cs="Book Antiqua"/>
        </w:rPr>
        <w:t>El impact</w:t>
      </w:r>
      <w:r>
        <w:rPr>
          <w:rFonts w:ascii="Book Antiqua" w:eastAsia="Book Antiqua" w:hAnsi="Book Antiqua" w:cs="Book Antiqua"/>
        </w:rPr>
        <w:t>o fiscal a largo plazo podría ocasionar serios inconvenientes para la operación de las disposiciones aquí contenidas, afectando no solo el presupuesto actual, sino que podría afectar la estabilidad fiscal del país a largo plazo.</w:t>
      </w:r>
    </w:p>
    <w:p w:rsidR="00C232F1" w:rsidRDefault="00C232F1">
      <w:pPr>
        <w:ind w:left="720"/>
        <w:rPr>
          <w:rFonts w:ascii="Book Antiqua" w:eastAsia="Book Antiqua" w:hAnsi="Book Antiqua" w:cs="Book Antiqua"/>
          <w:b/>
        </w:rPr>
      </w:pPr>
    </w:p>
    <w:p w:rsidR="00C232F1" w:rsidRDefault="00D72FAD">
      <w:pPr>
        <w:numPr>
          <w:ilvl w:val="0"/>
          <w:numId w:val="2"/>
        </w:numPr>
        <w:rPr>
          <w:rFonts w:ascii="Book Antiqua" w:eastAsia="Book Antiqua" w:hAnsi="Book Antiqua" w:cs="Book Antiqua"/>
          <w:b/>
        </w:rPr>
      </w:pPr>
      <w:r>
        <w:rPr>
          <w:rFonts w:ascii="Book Antiqua" w:eastAsia="Book Antiqua" w:hAnsi="Book Antiqua" w:cs="Book Antiqua"/>
          <w:b/>
        </w:rPr>
        <w:t>CONFLICTO DE INTERÉS</w:t>
      </w:r>
    </w:p>
    <w:p w:rsidR="00C232F1" w:rsidRDefault="00C232F1">
      <w:pPr>
        <w:ind w:left="720"/>
        <w:rPr>
          <w:rFonts w:ascii="Book Antiqua" w:eastAsia="Book Antiqua" w:hAnsi="Book Antiqua" w:cs="Book Antiqua"/>
          <w:b/>
        </w:rPr>
      </w:pPr>
    </w:p>
    <w:p w:rsidR="00C232F1" w:rsidRDefault="00D72FAD">
      <w:pPr>
        <w:jc w:val="both"/>
        <w:rPr>
          <w:rFonts w:ascii="Book Antiqua" w:eastAsia="Book Antiqua" w:hAnsi="Book Antiqua" w:cs="Book Antiqua"/>
        </w:rPr>
      </w:pPr>
      <w:r>
        <w:rPr>
          <w:rFonts w:ascii="Book Antiqua" w:eastAsia="Book Antiqua" w:hAnsi="Book Antiqua" w:cs="Book Antiqua"/>
        </w:rPr>
        <w:t>Segú</w:t>
      </w:r>
      <w:r>
        <w:rPr>
          <w:rFonts w:ascii="Book Antiqua" w:eastAsia="Book Antiqua" w:hAnsi="Book Antiqua" w:cs="Book Antiqua"/>
        </w:rPr>
        <w:t>n lo establecido en el artículo 3 de la Ley 2003 del 19 de noviembre de 2019, por la cual se modifica parcialmente la Ley 5 de 1992,  de manera meramente orientativa, se considera que para la discusión y aprobación de este Proyecto de Ley no existen circun</w:t>
      </w:r>
      <w:r>
        <w:rPr>
          <w:rFonts w:ascii="Book Antiqua" w:eastAsia="Book Antiqua" w:hAnsi="Book Antiqua" w:cs="Book Antiqua"/>
        </w:rPr>
        <w:t xml:space="preserve">stancias que pudieran dar lugar a un eventual conflicto de interés por parte de los Honorables Congresistas, pues es una iniciativa de carácter general, impersonal y abstracta, con lo cual no se materializa una situación concreta que permita enmarcar </w:t>
      </w:r>
      <w:r>
        <w:rPr>
          <w:rFonts w:ascii="Book Antiqua" w:eastAsia="Book Antiqua" w:hAnsi="Book Antiqua" w:cs="Book Antiqua"/>
        </w:rPr>
        <w:lastRenderedPageBreak/>
        <w:t>un be</w:t>
      </w:r>
      <w:r>
        <w:rPr>
          <w:rFonts w:ascii="Book Antiqua" w:eastAsia="Book Antiqua" w:hAnsi="Book Antiqua" w:cs="Book Antiqua"/>
        </w:rPr>
        <w:t>neficio particular, directo ni actual. En suma, se considera que este proyecto se enmarca en lo dispuesto por el literal a del artículo primero de la Ley 2003 de 2019 sobre las hipótesis de cuando se entiende que no hay conflicto de interés.</w:t>
      </w:r>
    </w:p>
    <w:p w:rsidR="00C232F1" w:rsidRDefault="00D72FAD">
      <w:pPr>
        <w:spacing w:before="240"/>
        <w:jc w:val="both"/>
        <w:rPr>
          <w:rFonts w:ascii="Book Antiqua" w:eastAsia="Book Antiqua" w:hAnsi="Book Antiqua" w:cs="Book Antiqua"/>
        </w:rPr>
      </w:pPr>
      <w:r>
        <w:rPr>
          <w:rFonts w:ascii="Book Antiqua" w:eastAsia="Book Antiqua" w:hAnsi="Book Antiqua" w:cs="Book Antiqua"/>
        </w:rPr>
        <w:t xml:space="preserve">En todo caso, </w:t>
      </w:r>
      <w:r>
        <w:rPr>
          <w:rFonts w:ascii="Book Antiqua" w:eastAsia="Book Antiqua" w:hAnsi="Book Antiqua" w:cs="Book Antiqua"/>
        </w:rPr>
        <w:t>es pertinente aclarar que los conflictos de interés son personales y corresponde a cada Congresista evaluarlos, pudiendo manifestar cuando considere que está inmerso en impedimento.</w:t>
      </w:r>
    </w:p>
    <w:p w:rsidR="00C232F1" w:rsidRDefault="00C232F1">
      <w:pPr>
        <w:ind w:left="720"/>
        <w:rPr>
          <w:rFonts w:ascii="Book Antiqua" w:eastAsia="Book Antiqua" w:hAnsi="Book Antiqua" w:cs="Book Antiqua"/>
          <w:b/>
        </w:rPr>
      </w:pPr>
    </w:p>
    <w:p w:rsidR="00C232F1" w:rsidRDefault="00D72FAD">
      <w:pPr>
        <w:numPr>
          <w:ilvl w:val="0"/>
          <w:numId w:val="2"/>
        </w:numPr>
        <w:rPr>
          <w:rFonts w:ascii="Book Antiqua" w:eastAsia="Book Antiqua" w:hAnsi="Book Antiqua" w:cs="Book Antiqua"/>
          <w:b/>
        </w:rPr>
      </w:pPr>
      <w:r>
        <w:rPr>
          <w:rFonts w:ascii="Book Antiqua" w:eastAsia="Book Antiqua" w:hAnsi="Book Antiqua" w:cs="Book Antiqua"/>
          <w:b/>
        </w:rPr>
        <w:t>PROPOSICIÓN</w:t>
      </w:r>
    </w:p>
    <w:p w:rsidR="00C232F1" w:rsidRDefault="00C232F1">
      <w:pPr>
        <w:ind w:right="113"/>
        <w:jc w:val="both"/>
        <w:rPr>
          <w:rFonts w:ascii="Book Antiqua" w:eastAsia="Book Antiqua" w:hAnsi="Book Antiqua" w:cs="Book Antiqua"/>
        </w:rPr>
      </w:pPr>
    </w:p>
    <w:p w:rsidR="00C232F1" w:rsidRDefault="00D72FAD">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Considerando los argumentos expuestos y en cumplimiento de los requisitos establecidos en la Ley 5° de 1992, presentamos ponencia negativa y, en consecuencia, solicitamos a los miembros de la Comisión Primera de la Cámara de Representantes archivar el Proy</w:t>
      </w:r>
      <w:r>
        <w:rPr>
          <w:rFonts w:ascii="Book Antiqua" w:eastAsia="Book Antiqua" w:hAnsi="Book Antiqua" w:cs="Book Antiqua"/>
        </w:rPr>
        <w:t xml:space="preserve">ecto de Ley No.018 de 2023 Cámara, </w:t>
      </w:r>
      <w:r>
        <w:rPr>
          <w:rFonts w:ascii="Book Antiqua" w:eastAsia="Book Antiqua" w:hAnsi="Book Antiqua" w:cs="Book Antiqua"/>
          <w:i/>
        </w:rPr>
        <w:t xml:space="preserve">“Por medio del cual se reforma se reforma la justicia, se modifica el código de procedimiento penal, código disciplinario del abogado, el estatuto arbitral, el código general del proceso, la ley 1905 de 2018, se estimula </w:t>
      </w:r>
      <w:r>
        <w:rPr>
          <w:rFonts w:ascii="Book Antiqua" w:eastAsia="Book Antiqua" w:hAnsi="Book Antiqua" w:cs="Book Antiqua"/>
          <w:i/>
        </w:rPr>
        <w:t>la conciliación extrajudicial contencioso administrativa, se adiciona la ley 1437 de 2011 y se dictan otras disposiciones”.</w:t>
      </w:r>
      <w:r>
        <w:rPr>
          <w:rFonts w:ascii="Book Antiqua" w:eastAsia="Book Antiqua" w:hAnsi="Book Antiqua" w:cs="Book Antiqua"/>
        </w:rPr>
        <w:t xml:space="preserve"> </w:t>
      </w:r>
    </w:p>
    <w:p w:rsidR="00C232F1" w:rsidRDefault="00C232F1">
      <w:pPr>
        <w:ind w:right="113"/>
        <w:jc w:val="both"/>
        <w:rPr>
          <w:rFonts w:ascii="Book Antiqua" w:eastAsia="Book Antiqua" w:hAnsi="Book Antiqua" w:cs="Book Antiqua"/>
        </w:rPr>
      </w:pPr>
    </w:p>
    <w:p w:rsidR="00C232F1" w:rsidRDefault="00D72FAD">
      <w:pPr>
        <w:ind w:right="113"/>
        <w:jc w:val="both"/>
        <w:rPr>
          <w:rFonts w:ascii="Book Antiqua" w:eastAsia="Book Antiqua" w:hAnsi="Book Antiqua" w:cs="Book Antiqua"/>
        </w:rPr>
      </w:pPr>
      <w:r>
        <w:rPr>
          <w:rFonts w:ascii="Book Antiqua" w:eastAsia="Book Antiqua" w:hAnsi="Book Antiqua" w:cs="Book Antiqua"/>
        </w:rPr>
        <w:t xml:space="preserve">Cordialmente, </w:t>
      </w:r>
      <w:bookmarkStart w:id="0" w:name="_GoBack"/>
      <w:bookmarkEnd w:id="0"/>
    </w:p>
    <w:p w:rsidR="00C232F1" w:rsidRDefault="00C232F1">
      <w:pPr>
        <w:ind w:right="113"/>
        <w:jc w:val="both"/>
        <w:rPr>
          <w:rFonts w:ascii="Book Antiqua" w:eastAsia="Book Antiqua" w:hAnsi="Book Antiqua" w:cs="Book Antiqua"/>
        </w:rPr>
      </w:pPr>
    </w:p>
    <w:p w:rsidR="00C232F1" w:rsidRDefault="00C232F1">
      <w:pPr>
        <w:ind w:right="113"/>
        <w:jc w:val="both"/>
        <w:rPr>
          <w:rFonts w:ascii="Book Antiqua" w:eastAsia="Book Antiqua" w:hAnsi="Book Antiqua" w:cs="Book Antiqua"/>
          <w:sz w:val="20"/>
          <w:szCs w:val="20"/>
        </w:rPr>
      </w:pPr>
    </w:p>
    <w:p w:rsidR="00C232F1" w:rsidRDefault="00D72FAD">
      <w:pPr>
        <w:ind w:right="113"/>
        <w:jc w:val="both"/>
        <w:rPr>
          <w:rFonts w:ascii="Book Antiqua" w:eastAsia="Book Antiqua" w:hAnsi="Book Antiqua" w:cs="Book Antiqua"/>
          <w:b/>
          <w:sz w:val="20"/>
          <w:szCs w:val="20"/>
        </w:rPr>
      </w:pPr>
      <w:r>
        <w:rPr>
          <w:rFonts w:ascii="Book Antiqua" w:eastAsia="Book Antiqua" w:hAnsi="Book Antiqua" w:cs="Book Antiqua"/>
          <w:b/>
          <w:sz w:val="20"/>
          <w:szCs w:val="20"/>
        </w:rPr>
        <w:t>ALVARO LEONEL RUEDA CABALLERO</w:t>
      </w:r>
      <w:r>
        <w:rPr>
          <w:rFonts w:ascii="Book Antiqua" w:eastAsia="Book Antiqua" w:hAnsi="Book Antiqua" w:cs="Book Antiqua"/>
          <w:b/>
          <w:sz w:val="20"/>
          <w:szCs w:val="20"/>
        </w:rPr>
        <w:tab/>
      </w:r>
      <w:r>
        <w:rPr>
          <w:rFonts w:ascii="Book Antiqua" w:eastAsia="Book Antiqua" w:hAnsi="Book Antiqua" w:cs="Book Antiqua"/>
          <w:b/>
          <w:sz w:val="20"/>
          <w:szCs w:val="20"/>
        </w:rPr>
        <w:tab/>
        <w:t>PEDRO JOSÉ SÚAREZ VACCA</w:t>
      </w:r>
      <w:r>
        <w:rPr>
          <w:rFonts w:ascii="Book Antiqua" w:eastAsia="Book Antiqua" w:hAnsi="Book Antiqua" w:cs="Book Antiqua"/>
          <w:b/>
          <w:sz w:val="20"/>
          <w:szCs w:val="20"/>
        </w:rPr>
        <w:br/>
        <w:t>Departamento de Santander</w:t>
      </w:r>
      <w:r>
        <w:rPr>
          <w:rFonts w:ascii="Book Antiqua" w:eastAsia="Book Antiqua" w:hAnsi="Book Antiqua" w:cs="Book Antiqua"/>
          <w:b/>
          <w:sz w:val="20"/>
          <w:szCs w:val="20"/>
        </w:rPr>
        <w:tab/>
      </w:r>
      <w:r>
        <w:rPr>
          <w:rFonts w:ascii="Book Antiqua" w:eastAsia="Book Antiqua" w:hAnsi="Book Antiqua" w:cs="Book Antiqua"/>
          <w:b/>
          <w:sz w:val="20"/>
          <w:szCs w:val="20"/>
        </w:rPr>
        <w:tab/>
      </w:r>
      <w:r>
        <w:rPr>
          <w:rFonts w:ascii="Book Antiqua" w:eastAsia="Book Antiqua" w:hAnsi="Book Antiqua" w:cs="Book Antiqua"/>
          <w:b/>
          <w:sz w:val="20"/>
          <w:szCs w:val="20"/>
        </w:rPr>
        <w:tab/>
      </w:r>
      <w:r>
        <w:rPr>
          <w:rFonts w:ascii="Book Antiqua" w:eastAsia="Book Antiqua" w:hAnsi="Book Antiqua" w:cs="Book Antiqua"/>
          <w:b/>
          <w:sz w:val="20"/>
          <w:szCs w:val="20"/>
        </w:rPr>
        <w:tab/>
        <w:t>Departamento de Boyacá</w:t>
      </w: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D72FAD">
      <w:pPr>
        <w:ind w:right="113"/>
        <w:jc w:val="both"/>
        <w:rPr>
          <w:rFonts w:ascii="Book Antiqua" w:eastAsia="Book Antiqua" w:hAnsi="Book Antiqua" w:cs="Book Antiqua"/>
          <w:b/>
          <w:sz w:val="20"/>
          <w:szCs w:val="20"/>
        </w:rPr>
      </w:pPr>
      <w:r>
        <w:rPr>
          <w:rFonts w:ascii="Book Antiqua" w:eastAsia="Book Antiqua" w:hAnsi="Book Antiqua" w:cs="Book Antiqua"/>
          <w:b/>
          <w:sz w:val="20"/>
          <w:szCs w:val="20"/>
        </w:rPr>
        <w:t>JAMES HERMENEGILDO MOSQUERA TORRES</w:t>
      </w:r>
      <w:r>
        <w:rPr>
          <w:rFonts w:ascii="Book Antiqua" w:eastAsia="Book Antiqua" w:hAnsi="Book Antiqua" w:cs="Book Antiqua"/>
          <w:b/>
          <w:sz w:val="20"/>
          <w:szCs w:val="20"/>
        </w:rPr>
        <w:tab/>
        <w:t>JUAN DANIEL PEÑUELA CALVACHE</w:t>
      </w:r>
    </w:p>
    <w:p w:rsidR="00C232F1" w:rsidRDefault="00D72FAD">
      <w:pPr>
        <w:ind w:right="113"/>
        <w:jc w:val="both"/>
        <w:rPr>
          <w:rFonts w:ascii="Book Antiqua" w:eastAsia="Book Antiqua" w:hAnsi="Book Antiqua" w:cs="Book Antiqua"/>
          <w:b/>
          <w:sz w:val="20"/>
          <w:szCs w:val="20"/>
        </w:rPr>
      </w:pPr>
      <w:proofErr w:type="spellStart"/>
      <w:r>
        <w:rPr>
          <w:rFonts w:ascii="Book Antiqua" w:eastAsia="Book Antiqua" w:hAnsi="Book Antiqua" w:cs="Book Antiqua"/>
          <w:b/>
          <w:sz w:val="20"/>
          <w:szCs w:val="20"/>
        </w:rPr>
        <w:t>Circ</w:t>
      </w:r>
      <w:proofErr w:type="spellEnd"/>
      <w:r>
        <w:rPr>
          <w:rFonts w:ascii="Book Antiqua" w:eastAsia="Book Antiqua" w:hAnsi="Book Antiqua" w:cs="Book Antiqua"/>
          <w:b/>
          <w:sz w:val="20"/>
          <w:szCs w:val="20"/>
        </w:rPr>
        <w:t xml:space="preserve">. </w:t>
      </w:r>
      <w:proofErr w:type="spellStart"/>
      <w:r>
        <w:rPr>
          <w:rFonts w:ascii="Book Antiqua" w:eastAsia="Book Antiqua" w:hAnsi="Book Antiqua" w:cs="Book Antiqua"/>
          <w:b/>
          <w:sz w:val="20"/>
          <w:szCs w:val="20"/>
        </w:rPr>
        <w:t>Trans</w:t>
      </w:r>
      <w:proofErr w:type="spellEnd"/>
      <w:r>
        <w:rPr>
          <w:rFonts w:ascii="Book Antiqua" w:eastAsia="Book Antiqua" w:hAnsi="Book Antiqua" w:cs="Book Antiqua"/>
          <w:b/>
          <w:sz w:val="20"/>
          <w:szCs w:val="20"/>
        </w:rPr>
        <w:t>. Esp. de Paz (CITREP)</w:t>
      </w:r>
      <w:r>
        <w:rPr>
          <w:rFonts w:ascii="Book Antiqua" w:eastAsia="Book Antiqua" w:hAnsi="Book Antiqua" w:cs="Book Antiqua"/>
          <w:b/>
          <w:sz w:val="20"/>
          <w:szCs w:val="20"/>
        </w:rPr>
        <w:tab/>
      </w:r>
      <w:r>
        <w:rPr>
          <w:rFonts w:ascii="Book Antiqua" w:eastAsia="Book Antiqua" w:hAnsi="Book Antiqua" w:cs="Book Antiqua"/>
          <w:b/>
          <w:sz w:val="20"/>
          <w:szCs w:val="20"/>
        </w:rPr>
        <w:tab/>
      </w:r>
      <w:r>
        <w:rPr>
          <w:rFonts w:ascii="Book Antiqua" w:eastAsia="Book Antiqua" w:hAnsi="Book Antiqua" w:cs="Book Antiqua"/>
          <w:b/>
          <w:sz w:val="20"/>
          <w:szCs w:val="20"/>
        </w:rPr>
        <w:tab/>
        <w:t>Departamento de Nariño</w:t>
      </w: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D72FAD">
      <w:pPr>
        <w:ind w:right="113"/>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rPr>
        <w:t>JORGE ELIECER TAMAYO MARULANDA</w:t>
      </w:r>
      <w:r>
        <w:rPr>
          <w:rFonts w:ascii="Book Antiqua" w:eastAsia="Book Antiqua" w:hAnsi="Book Antiqua" w:cs="Book Antiqua"/>
          <w:b/>
          <w:sz w:val="20"/>
          <w:szCs w:val="20"/>
        </w:rPr>
        <w:tab/>
      </w:r>
      <w:r>
        <w:rPr>
          <w:rFonts w:ascii="Book Antiqua" w:eastAsia="Book Antiqua" w:hAnsi="Book Antiqua" w:cs="Book Antiqua"/>
          <w:b/>
          <w:sz w:val="20"/>
          <w:szCs w:val="20"/>
        </w:rPr>
        <w:tab/>
      </w:r>
      <w:r>
        <w:rPr>
          <w:rFonts w:ascii="Book Antiqua" w:eastAsia="Book Antiqua" w:hAnsi="Book Antiqua" w:cs="Book Antiqua"/>
          <w:b/>
          <w:sz w:val="20"/>
          <w:szCs w:val="20"/>
          <w:highlight w:val="white"/>
        </w:rPr>
        <w:t>HERNÁN DARÍO CADAVID MÁRQUEZ</w:t>
      </w:r>
    </w:p>
    <w:p w:rsidR="00C232F1" w:rsidRDefault="00D72FAD">
      <w:pPr>
        <w:ind w:right="113"/>
        <w:jc w:val="both"/>
        <w:rPr>
          <w:rFonts w:ascii="Book Antiqua" w:eastAsia="Book Antiqua" w:hAnsi="Book Antiqua" w:cs="Book Antiqua"/>
          <w:b/>
          <w:sz w:val="20"/>
          <w:szCs w:val="20"/>
        </w:rPr>
      </w:pPr>
      <w:r>
        <w:rPr>
          <w:rFonts w:ascii="Book Antiqua" w:eastAsia="Book Antiqua" w:hAnsi="Book Antiqua" w:cs="Book Antiqua"/>
          <w:b/>
          <w:sz w:val="20"/>
          <w:szCs w:val="20"/>
        </w:rPr>
        <w:t>Departamento Valle del Cauca</w:t>
      </w:r>
      <w:r>
        <w:rPr>
          <w:rFonts w:ascii="Book Antiqua" w:eastAsia="Book Antiqua" w:hAnsi="Book Antiqua" w:cs="Book Antiqua"/>
          <w:b/>
          <w:sz w:val="20"/>
          <w:szCs w:val="20"/>
        </w:rPr>
        <w:tab/>
      </w:r>
      <w:r>
        <w:rPr>
          <w:rFonts w:ascii="Book Antiqua" w:eastAsia="Book Antiqua" w:hAnsi="Book Antiqua" w:cs="Book Antiqua"/>
          <w:b/>
          <w:sz w:val="20"/>
          <w:szCs w:val="20"/>
        </w:rPr>
        <w:tab/>
      </w:r>
      <w:r>
        <w:rPr>
          <w:rFonts w:ascii="Book Antiqua" w:eastAsia="Book Antiqua" w:hAnsi="Book Antiqua" w:cs="Book Antiqua"/>
          <w:b/>
          <w:sz w:val="20"/>
          <w:szCs w:val="20"/>
        </w:rPr>
        <w:tab/>
      </w:r>
      <w:r>
        <w:rPr>
          <w:rFonts w:ascii="Book Antiqua" w:eastAsia="Book Antiqua" w:hAnsi="Book Antiqua" w:cs="Book Antiqua"/>
          <w:b/>
          <w:sz w:val="20"/>
          <w:szCs w:val="20"/>
        </w:rPr>
        <w:tab/>
        <w:t>Departamento de Antioquia</w:t>
      </w: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D72FAD">
      <w:pPr>
        <w:ind w:right="113"/>
        <w:jc w:val="both"/>
        <w:rPr>
          <w:rFonts w:ascii="Book Antiqua" w:eastAsia="Book Antiqua" w:hAnsi="Book Antiqua" w:cs="Book Antiqua"/>
          <w:b/>
          <w:sz w:val="20"/>
          <w:szCs w:val="20"/>
          <w:highlight w:val="white"/>
        </w:rPr>
      </w:pPr>
      <w:r>
        <w:rPr>
          <w:rFonts w:ascii="Book Antiqua" w:eastAsia="Book Antiqua" w:hAnsi="Book Antiqua" w:cs="Book Antiqua"/>
          <w:b/>
          <w:sz w:val="20"/>
          <w:szCs w:val="20"/>
          <w:highlight w:val="white"/>
        </w:rPr>
        <w:t>MARELEN CASTILLO TORRES</w:t>
      </w:r>
      <w:r>
        <w:rPr>
          <w:rFonts w:ascii="Book Antiqua" w:eastAsia="Book Antiqua" w:hAnsi="Book Antiqua" w:cs="Book Antiqua"/>
          <w:b/>
          <w:sz w:val="20"/>
          <w:szCs w:val="20"/>
          <w:highlight w:val="white"/>
        </w:rPr>
        <w:tab/>
      </w:r>
      <w:r>
        <w:rPr>
          <w:rFonts w:ascii="Book Antiqua" w:eastAsia="Book Antiqua" w:hAnsi="Book Antiqua" w:cs="Book Antiqua"/>
          <w:b/>
          <w:sz w:val="20"/>
          <w:szCs w:val="20"/>
          <w:highlight w:val="white"/>
        </w:rPr>
        <w:tab/>
      </w:r>
      <w:r>
        <w:rPr>
          <w:rFonts w:ascii="Book Antiqua" w:eastAsia="Book Antiqua" w:hAnsi="Book Antiqua" w:cs="Book Antiqua"/>
          <w:b/>
          <w:sz w:val="20"/>
          <w:szCs w:val="20"/>
          <w:highlight w:val="white"/>
        </w:rPr>
        <w:tab/>
        <w:t>LUIS ALBERTO ALBÁN URBANO</w:t>
      </w:r>
    </w:p>
    <w:p w:rsidR="00C232F1" w:rsidRDefault="00D72FAD">
      <w:pPr>
        <w:ind w:right="113"/>
        <w:jc w:val="both"/>
        <w:rPr>
          <w:rFonts w:ascii="Book Antiqua" w:eastAsia="Book Antiqua" w:hAnsi="Book Antiqua" w:cs="Book Antiqua"/>
          <w:b/>
          <w:sz w:val="20"/>
          <w:szCs w:val="20"/>
        </w:rPr>
      </w:pPr>
      <w:r>
        <w:rPr>
          <w:rFonts w:ascii="Book Antiqua" w:eastAsia="Book Antiqua" w:hAnsi="Book Antiqua" w:cs="Book Antiqua"/>
          <w:b/>
          <w:sz w:val="20"/>
          <w:szCs w:val="20"/>
        </w:rPr>
        <w:t>Estatuto de la Oposición Art 112 CP</w:t>
      </w:r>
      <w:r>
        <w:rPr>
          <w:rFonts w:ascii="Book Antiqua" w:eastAsia="Book Antiqua" w:hAnsi="Book Antiqua" w:cs="Book Antiqua"/>
          <w:b/>
          <w:sz w:val="20"/>
          <w:szCs w:val="20"/>
        </w:rPr>
        <w:tab/>
      </w:r>
      <w:r>
        <w:rPr>
          <w:rFonts w:ascii="Book Antiqua" w:eastAsia="Book Antiqua" w:hAnsi="Book Antiqua" w:cs="Book Antiqua"/>
          <w:b/>
          <w:sz w:val="20"/>
          <w:szCs w:val="20"/>
          <w:highlight w:val="white"/>
        </w:rPr>
        <w:tab/>
      </w:r>
      <w:r>
        <w:rPr>
          <w:rFonts w:ascii="Book Antiqua" w:eastAsia="Book Antiqua" w:hAnsi="Book Antiqua" w:cs="Book Antiqua"/>
          <w:b/>
          <w:sz w:val="20"/>
          <w:szCs w:val="20"/>
          <w:highlight w:val="white"/>
        </w:rPr>
        <w:tab/>
      </w:r>
      <w:r>
        <w:rPr>
          <w:rFonts w:ascii="Book Antiqua" w:eastAsia="Book Antiqua" w:hAnsi="Book Antiqua" w:cs="Book Antiqua"/>
          <w:b/>
          <w:sz w:val="20"/>
          <w:szCs w:val="20"/>
        </w:rPr>
        <w:t>Departamento Valle del Cauca</w:t>
      </w: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rPr>
      </w:pPr>
    </w:p>
    <w:p w:rsidR="00C232F1" w:rsidRDefault="00C232F1">
      <w:pPr>
        <w:ind w:right="113"/>
        <w:jc w:val="both"/>
        <w:rPr>
          <w:rFonts w:ascii="Book Antiqua" w:eastAsia="Book Antiqua" w:hAnsi="Book Antiqua" w:cs="Book Antiqua"/>
          <w:b/>
          <w:sz w:val="20"/>
          <w:szCs w:val="20"/>
          <w:highlight w:val="white"/>
        </w:rPr>
      </w:pPr>
    </w:p>
    <w:p w:rsidR="00C232F1" w:rsidRDefault="00D72FAD">
      <w:pPr>
        <w:ind w:right="113"/>
        <w:jc w:val="both"/>
        <w:rPr>
          <w:rFonts w:ascii="Book Antiqua" w:eastAsia="Book Antiqua" w:hAnsi="Book Antiqua" w:cs="Book Antiqua"/>
          <w:b/>
          <w:sz w:val="20"/>
          <w:szCs w:val="20"/>
        </w:rPr>
      </w:pPr>
      <w:r>
        <w:rPr>
          <w:rFonts w:ascii="Book Antiqua" w:eastAsia="Book Antiqua" w:hAnsi="Book Antiqua" w:cs="Book Antiqua"/>
          <w:b/>
          <w:sz w:val="20"/>
          <w:szCs w:val="20"/>
        </w:rPr>
        <w:t>DUVALIER SÁNCHEZ ARANGO</w:t>
      </w:r>
    </w:p>
    <w:p w:rsidR="00C232F1" w:rsidRDefault="00D72FAD">
      <w:pPr>
        <w:ind w:right="113"/>
        <w:jc w:val="both"/>
        <w:rPr>
          <w:rFonts w:ascii="Book Antiqua" w:eastAsia="Book Antiqua" w:hAnsi="Book Antiqua" w:cs="Book Antiqua"/>
          <w:b/>
          <w:sz w:val="20"/>
          <w:szCs w:val="20"/>
        </w:rPr>
      </w:pPr>
      <w:r>
        <w:rPr>
          <w:rFonts w:ascii="Book Antiqua" w:eastAsia="Book Antiqua" w:hAnsi="Book Antiqua" w:cs="Book Antiqua"/>
          <w:b/>
          <w:sz w:val="20"/>
          <w:szCs w:val="20"/>
        </w:rPr>
        <w:t>Departamento Valle del Cauca</w:t>
      </w:r>
      <w:r>
        <w:rPr>
          <w:rFonts w:ascii="Book Antiqua" w:eastAsia="Book Antiqua" w:hAnsi="Book Antiqua" w:cs="Book Antiqua"/>
          <w:b/>
          <w:color w:val="775F31"/>
          <w:sz w:val="20"/>
          <w:szCs w:val="20"/>
          <w:highlight w:val="white"/>
        </w:rPr>
        <w:tab/>
      </w:r>
      <w:r>
        <w:rPr>
          <w:rFonts w:ascii="Book Antiqua" w:eastAsia="Book Antiqua" w:hAnsi="Book Antiqua" w:cs="Book Antiqua"/>
          <w:b/>
          <w:color w:val="775F31"/>
          <w:sz w:val="20"/>
          <w:szCs w:val="20"/>
          <w:highlight w:val="white"/>
        </w:rPr>
        <w:tab/>
      </w:r>
      <w:r>
        <w:rPr>
          <w:rFonts w:ascii="Book Antiqua" w:eastAsia="Book Antiqua" w:hAnsi="Book Antiqua" w:cs="Book Antiqua"/>
          <w:b/>
          <w:color w:val="775F31"/>
          <w:sz w:val="20"/>
          <w:szCs w:val="20"/>
          <w:highlight w:val="white"/>
        </w:rPr>
        <w:tab/>
      </w:r>
      <w:r>
        <w:rPr>
          <w:rFonts w:ascii="Book Antiqua" w:eastAsia="Book Antiqua" w:hAnsi="Book Antiqua" w:cs="Book Antiqua"/>
          <w:b/>
          <w:color w:val="775F31"/>
          <w:sz w:val="20"/>
          <w:szCs w:val="20"/>
          <w:highlight w:val="white"/>
        </w:rPr>
        <w:tab/>
      </w:r>
      <w:r>
        <w:rPr>
          <w:rFonts w:ascii="Book Antiqua" w:eastAsia="Book Antiqua" w:hAnsi="Book Antiqua" w:cs="Book Antiqua"/>
          <w:b/>
          <w:color w:val="775F31"/>
          <w:sz w:val="20"/>
          <w:szCs w:val="20"/>
          <w:highlight w:val="white"/>
        </w:rPr>
        <w:tab/>
      </w:r>
    </w:p>
    <w:sectPr w:rsidR="00C232F1">
      <w:headerReference w:type="default" r:id="rId8"/>
      <w:footerReference w:type="default" r:id="rId9"/>
      <w:pgSz w:w="12240" w:h="15840"/>
      <w:pgMar w:top="1660" w:right="1580" w:bottom="1320" w:left="1600" w:header="623" w:footer="113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FAD" w:rsidRDefault="00D72FAD">
      <w:r>
        <w:separator/>
      </w:r>
    </w:p>
  </w:endnote>
  <w:endnote w:type="continuationSeparator" w:id="0">
    <w:p w:rsidR="00D72FAD" w:rsidRDefault="00D7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oto Sans Symbol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F1" w:rsidRDefault="00D72FAD">
    <w:pPr>
      <w:pBdr>
        <w:top w:val="nil"/>
        <w:left w:val="nil"/>
        <w:bottom w:val="nil"/>
        <w:right w:val="nil"/>
        <w:between w:val="nil"/>
      </w:pBdr>
      <w:spacing w:line="14" w:lineRule="auto"/>
      <w:rPr>
        <w:color w:val="000000"/>
        <w:sz w:val="20"/>
        <w:szCs w:val="20"/>
      </w:rPr>
    </w:pPr>
    <w:r>
      <w:rPr>
        <w:noProof/>
        <w:lang w:val="es-CO"/>
      </w:rPr>
      <mc:AlternateContent>
        <mc:Choice Requires="wpg">
          <w:drawing>
            <wp:anchor distT="0" distB="0" distL="0" distR="0" simplePos="0" relativeHeight="251661312" behindDoc="1" locked="0" layoutInCell="1" hidden="0" allowOverlap="1">
              <wp:simplePos x="0" y="0"/>
              <wp:positionH relativeFrom="column">
                <wp:posOffset>787400</wp:posOffset>
              </wp:positionH>
              <wp:positionV relativeFrom="paragraph">
                <wp:posOffset>9042400</wp:posOffset>
              </wp:positionV>
              <wp:extent cx="3985895" cy="450850"/>
              <wp:effectExtent l="0" t="0" r="0" b="0"/>
              <wp:wrapNone/>
              <wp:docPr id="65" name="Rectángulo 65"/>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rsidR="00C232F1" w:rsidRDefault="00D72FAD">
                          <w:pPr>
                            <w:spacing w:before="20" w:line="245" w:lineRule="auto"/>
                            <w:ind w:left="527" w:firstLine="6323"/>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rsidR="00C232F1" w:rsidRDefault="00D72FAD">
                          <w:pPr>
                            <w:spacing w:line="245" w:lineRule="auto"/>
                            <w:ind w:left="20" w:firstLine="24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787400</wp:posOffset>
              </wp:positionH>
              <wp:positionV relativeFrom="paragraph">
                <wp:posOffset>9042400</wp:posOffset>
              </wp:positionV>
              <wp:extent cx="3985895" cy="450850"/>
              <wp:effectExtent b="0" l="0" r="0" t="0"/>
              <wp:wrapNone/>
              <wp:docPr id="6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985895" cy="4508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FAD" w:rsidRDefault="00D72FAD">
      <w:r>
        <w:separator/>
      </w:r>
    </w:p>
  </w:footnote>
  <w:footnote w:type="continuationSeparator" w:id="0">
    <w:p w:rsidR="00D72FAD" w:rsidRDefault="00D72F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F1" w:rsidRDefault="00D72FAD">
    <w:pPr>
      <w:pBdr>
        <w:top w:val="nil"/>
        <w:left w:val="nil"/>
        <w:bottom w:val="nil"/>
        <w:right w:val="nil"/>
        <w:between w:val="nil"/>
      </w:pBdr>
      <w:spacing w:line="14" w:lineRule="auto"/>
      <w:rPr>
        <w:color w:val="000000"/>
        <w:sz w:val="20"/>
        <w:szCs w:val="20"/>
      </w:rPr>
    </w:pPr>
    <w:r>
      <w:rPr>
        <w:noProof/>
        <w:lang w:val="es-CO"/>
      </w:rPr>
      <w:drawing>
        <wp:anchor distT="114300" distB="114300" distL="114300" distR="114300" simplePos="0" relativeHeight="251658240" behindDoc="0" locked="0" layoutInCell="1" hidden="0" allowOverlap="1">
          <wp:simplePos x="0" y="0"/>
          <wp:positionH relativeFrom="margin">
            <wp:posOffset>3774522</wp:posOffset>
          </wp:positionH>
          <wp:positionV relativeFrom="margin">
            <wp:posOffset>-857882</wp:posOffset>
          </wp:positionV>
          <wp:extent cx="1788078" cy="889635"/>
          <wp:effectExtent l="0" t="0" r="0" b="0"/>
          <wp:wrapNone/>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88078" cy="889635"/>
                  </a:xfrm>
                  <a:prstGeom prst="rect">
                    <a:avLst/>
                  </a:prstGeom>
                  <a:ln/>
                </pic:spPr>
              </pic:pic>
            </a:graphicData>
          </a:graphic>
        </wp:anchor>
      </w:drawing>
    </w:r>
    <w:r>
      <w:rPr>
        <w:noProof/>
        <w:color w:val="000000"/>
        <w:lang w:val="es-CO"/>
      </w:rPr>
      <w:drawing>
        <wp:anchor distT="0" distB="0" distL="0" distR="0" simplePos="0" relativeHeight="251659264" behindDoc="1" locked="0" layoutInCell="1" hidden="0" allowOverlap="1">
          <wp:simplePos x="0" y="0"/>
          <wp:positionH relativeFrom="margin">
            <wp:posOffset>469900</wp:posOffset>
          </wp:positionH>
          <wp:positionV relativeFrom="topMargin">
            <wp:posOffset>123825</wp:posOffset>
          </wp:positionV>
          <wp:extent cx="2505075" cy="807561"/>
          <wp:effectExtent l="0" t="0" r="0" b="0"/>
          <wp:wrapNone/>
          <wp:docPr id="6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505075" cy="807561"/>
                  </a:xfrm>
                  <a:prstGeom prst="rect">
                    <a:avLst/>
                  </a:prstGeom>
                  <a:ln/>
                </pic:spPr>
              </pic:pic>
            </a:graphicData>
          </a:graphic>
        </wp:anchor>
      </w:drawing>
    </w:r>
    <w:r>
      <w:rPr>
        <w:noProof/>
        <w:color w:val="000000"/>
        <w:lang w:val="es-CO"/>
      </w:rPr>
      <w:drawing>
        <wp:anchor distT="0" distB="0" distL="0" distR="0" simplePos="0" relativeHeight="251660288" behindDoc="1" locked="0" layoutInCell="1" hidden="0" allowOverlap="1">
          <wp:simplePos x="0" y="0"/>
          <wp:positionH relativeFrom="margin">
            <wp:posOffset>746125</wp:posOffset>
          </wp:positionH>
          <wp:positionV relativeFrom="topMargin">
            <wp:posOffset>196215</wp:posOffset>
          </wp:positionV>
          <wp:extent cx="2143125" cy="690879"/>
          <wp:effectExtent l="0" t="0" r="0" b="0"/>
          <wp:wrapNone/>
          <wp:docPr id="6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143125" cy="69087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7692B"/>
    <w:multiLevelType w:val="multilevel"/>
    <w:tmpl w:val="C574A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7F4BB9"/>
    <w:multiLevelType w:val="multilevel"/>
    <w:tmpl w:val="5C8613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633BCF"/>
    <w:multiLevelType w:val="multilevel"/>
    <w:tmpl w:val="5BBCCF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F1"/>
    <w:rsid w:val="00465E54"/>
    <w:rsid w:val="00C232F1"/>
    <w:rsid w:val="00D72F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0A2F"/>
  <w15:docId w15:val="{5E4936FC-C38E-46DD-899C-A94B1477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B2B"/>
  </w:style>
  <w:style w:type="paragraph" w:styleId="Ttulo1">
    <w:name w:val="heading 1"/>
    <w:basedOn w:val="Normal"/>
    <w:uiPriority w:val="9"/>
    <w:qFormat/>
    <w:pPr>
      <w:widowControl w:val="0"/>
      <w:ind w:left="112" w:right="211"/>
      <w:jc w:val="center"/>
      <w:outlineLvl w:val="0"/>
    </w:pPr>
    <w:rPr>
      <w:rFonts w:ascii="Arial" w:eastAsia="Arial" w:hAnsi="Arial" w:cs="Arial"/>
      <w:b/>
      <w:bCs/>
      <w:lang w:val="es-ES"/>
    </w:rPr>
  </w:style>
  <w:style w:type="paragraph" w:styleId="Ttulo2">
    <w:name w:val="heading 2"/>
    <w:basedOn w:val="Normal"/>
    <w:next w:val="Normal"/>
    <w:uiPriority w:val="9"/>
    <w:semiHidden/>
    <w:unhideWhenUsed/>
    <w:qFormat/>
    <w:pPr>
      <w:keepNext/>
      <w:keepLines/>
      <w:widowControl w:val="0"/>
      <w:spacing w:before="360" w:after="80"/>
      <w:outlineLvl w:val="1"/>
    </w:pPr>
    <w:rPr>
      <w:rFonts w:ascii="Arial MT" w:eastAsia="Arial MT" w:hAnsi="Arial MT" w:cs="Arial MT"/>
      <w:b/>
      <w:sz w:val="36"/>
      <w:szCs w:val="36"/>
      <w:lang w:val="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Arial MT" w:eastAsia="Arial MT" w:hAnsi="Arial MT" w:cs="Arial MT"/>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pPr>
    <w:rPr>
      <w:rFonts w:ascii="Arial MT" w:eastAsia="Arial MT" w:hAnsi="Arial MT" w:cs="Arial MT"/>
      <w:lang w:val="es-ES"/>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1"/>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uiPriority w:val="99"/>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7429"/>
    <w:rPr>
      <w:sz w:val="16"/>
      <w:szCs w:val="16"/>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1"/>
    <w:locked/>
    <w:rsid w:val="00CD002E"/>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6nnd4CTIP7qEepnMHu4j5aaQ==">CgMxLjA4AHIhMWpTSWlfckVaOW9nT2Nub2JSNHZwdVNmYkxWVE5mUUUy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2857</Words>
  <Characters>15714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Liliana Valencia</dc:creator>
  <cp:lastModifiedBy>Ainara Lucia  Sanchez Melendez UTL</cp:lastModifiedBy>
  <cp:revision>2</cp:revision>
  <cp:lastPrinted>2024-06-11T18:57:00Z</cp:lastPrinted>
  <dcterms:created xsi:type="dcterms:W3CDTF">2024-04-08T21:53:00Z</dcterms:created>
  <dcterms:modified xsi:type="dcterms:W3CDTF">2024-06-11T18:58:00Z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para Microsoft 365</vt:lpwstr>
  </property>
  <property fmtid="{D5CDD505-2E9C-101B-9397-08002B2CF9AE}" pid="4" name="LastSaved">
    <vt:filetime>2022-08-23T00:00:00Z</vt:filetime>
  </property>
</Properties>
</file>